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DF0A3" w14:textId="6014F41E" w:rsidR="00C61421" w:rsidRPr="00884F7A" w:rsidRDefault="00E502F9" w:rsidP="00D3049B">
      <w:pPr>
        <w:pStyle w:val="LEAAuthors"/>
        <w:jc w:val="center"/>
        <w:rPr>
          <w:b/>
          <w:sz w:val="28"/>
          <w:lang w:val="en-GB"/>
        </w:rPr>
      </w:pPr>
      <w:r w:rsidRPr="00884F7A">
        <w:rPr>
          <w:b/>
          <w:sz w:val="28"/>
          <w:lang w:val="en-GB"/>
        </w:rPr>
        <w:t xml:space="preserve">Visual Disinformation: </w:t>
      </w:r>
      <w:r w:rsidR="00660FD5" w:rsidRPr="00660FD5">
        <w:rPr>
          <w:b/>
          <w:sz w:val="28"/>
          <w:lang w:val="en-GB"/>
        </w:rPr>
        <w:t>Challenges</w:t>
      </w:r>
      <w:r w:rsidR="00660FD5">
        <w:t xml:space="preserve"> </w:t>
      </w:r>
      <w:r w:rsidRPr="00884F7A">
        <w:rPr>
          <w:b/>
          <w:sz w:val="28"/>
          <w:lang w:val="en-GB"/>
        </w:rPr>
        <w:t>of Trust and Security</w:t>
      </w:r>
    </w:p>
    <w:p w14:paraId="1B70362B" w14:textId="6FB70F8F" w:rsidR="00756E3F" w:rsidRPr="00884F7A" w:rsidRDefault="00C61421" w:rsidP="00D3049B">
      <w:pPr>
        <w:pStyle w:val="LEAAuthors"/>
        <w:jc w:val="center"/>
        <w:rPr>
          <w:lang w:val="en-GB"/>
        </w:rPr>
      </w:pPr>
      <w:r w:rsidRPr="00884F7A">
        <w:rPr>
          <w:u w:val="single"/>
          <w:lang w:val="en-GB"/>
        </w:rPr>
        <w:t>Holomysov Vladyslav</w:t>
      </w:r>
      <w:r w:rsidR="007A2F26" w:rsidRPr="00884F7A">
        <w:rPr>
          <w:lang w:val="en-GB"/>
        </w:rPr>
        <w:t xml:space="preserve">¹, </w:t>
      </w:r>
      <w:r w:rsidRPr="00884F7A">
        <w:rPr>
          <w:lang w:val="en-GB"/>
        </w:rPr>
        <w:t>Mygal Galyna</w:t>
      </w:r>
      <w:r w:rsidR="007A2F26" w:rsidRPr="00884F7A">
        <w:rPr>
          <w:lang w:val="en-GB"/>
        </w:rPr>
        <w:t>²</w:t>
      </w:r>
    </w:p>
    <w:p w14:paraId="1132F174" w14:textId="67CE9CC2" w:rsidR="00E502F9" w:rsidRPr="00884F7A" w:rsidRDefault="00E502F9" w:rsidP="00E502F9">
      <w:pPr>
        <w:pStyle w:val="LEAAffiliation"/>
        <w:spacing w:after="0"/>
        <w:jc w:val="center"/>
        <w:rPr>
          <w:lang w:val="en-GB"/>
        </w:rPr>
      </w:pPr>
      <w:r w:rsidRPr="00884F7A">
        <w:rPr>
          <w:lang w:val="en-GB"/>
        </w:rPr>
        <w:t>¹ Student of</w:t>
      </w:r>
      <w:r>
        <w:rPr>
          <w:lang w:val="uk-UA"/>
        </w:rPr>
        <w:t xml:space="preserve"> </w:t>
      </w:r>
      <w:r w:rsidRPr="00E502F9">
        <w:rPr>
          <w:lang w:val="en-GB"/>
        </w:rPr>
        <w:t>Department of Information Technologies in Publishing</w:t>
      </w:r>
      <w:r w:rsidRPr="00884F7A">
        <w:rPr>
          <w:lang w:val="en-GB"/>
        </w:rPr>
        <w:t>, Lviv Polytechnic National University, Ukraine</w:t>
      </w:r>
      <w:r>
        <w:rPr>
          <w:lang w:val="uk-UA"/>
        </w:rPr>
        <w:t xml:space="preserve">, </w:t>
      </w:r>
      <w:r w:rsidRPr="00884F7A">
        <w:rPr>
          <w:lang w:val="en-GB"/>
        </w:rPr>
        <w:t>Lviv,</w:t>
      </w:r>
      <w:r>
        <w:rPr>
          <w:lang w:val="uk-UA"/>
        </w:rPr>
        <w:t xml:space="preserve"> </w:t>
      </w:r>
      <w:r w:rsidRPr="00E502F9">
        <w:rPr>
          <w:lang w:val="uk-UA"/>
        </w:rPr>
        <w:t xml:space="preserve">12 </w:t>
      </w:r>
      <w:proofErr w:type="spellStart"/>
      <w:r w:rsidRPr="00E502F9">
        <w:rPr>
          <w:lang w:val="uk-UA"/>
        </w:rPr>
        <w:t>Stepan</w:t>
      </w:r>
      <w:proofErr w:type="spellEnd"/>
      <w:r w:rsidRPr="00E502F9">
        <w:rPr>
          <w:lang w:val="uk-UA"/>
        </w:rPr>
        <w:t xml:space="preserve"> </w:t>
      </w:r>
      <w:proofErr w:type="spellStart"/>
      <w:r w:rsidRPr="00E502F9">
        <w:rPr>
          <w:lang w:val="uk-UA"/>
        </w:rPr>
        <w:t>Bandera</w:t>
      </w:r>
      <w:proofErr w:type="spellEnd"/>
      <w:r w:rsidRPr="00E502F9">
        <w:rPr>
          <w:lang w:val="uk-UA"/>
        </w:rPr>
        <w:t xml:space="preserve"> </w:t>
      </w:r>
      <w:proofErr w:type="spellStart"/>
      <w:r w:rsidRPr="00E502F9">
        <w:rPr>
          <w:lang w:val="uk-UA"/>
        </w:rPr>
        <w:t>Street</w:t>
      </w:r>
      <w:proofErr w:type="spellEnd"/>
      <w:r w:rsidRPr="00884F7A">
        <w:rPr>
          <w:lang w:val="en-GB"/>
        </w:rPr>
        <w:t>; e-mail: vladyslav.holomysov.vp.2024@lpnu.ua</w:t>
      </w:r>
    </w:p>
    <w:p w14:paraId="771F14DF" w14:textId="7DC358E9" w:rsidR="00756E3F" w:rsidRPr="00884F7A" w:rsidRDefault="007A2F26" w:rsidP="00D3049B">
      <w:pPr>
        <w:pStyle w:val="LEAAffiliation"/>
        <w:spacing w:after="0"/>
        <w:jc w:val="center"/>
        <w:rPr>
          <w:lang w:val="en-GB"/>
        </w:rPr>
      </w:pPr>
      <w:r w:rsidRPr="00884F7A">
        <w:rPr>
          <w:lang w:val="en-GB"/>
        </w:rPr>
        <w:t xml:space="preserve">² </w:t>
      </w:r>
      <w:r w:rsidR="00C61421" w:rsidRPr="00884F7A">
        <w:rPr>
          <w:lang w:val="en-GB"/>
        </w:rPr>
        <w:t xml:space="preserve">Doctor of Technical Sciences, Professor, Department of Transport Technologies, Lviv Polytechnic National University, </w:t>
      </w:r>
      <w:r w:rsidR="00E502F9" w:rsidRPr="00884F7A">
        <w:rPr>
          <w:lang w:val="en-GB"/>
        </w:rPr>
        <w:t>Ukraine</w:t>
      </w:r>
      <w:r w:rsidR="00E502F9">
        <w:rPr>
          <w:lang w:val="uk-UA"/>
        </w:rPr>
        <w:t xml:space="preserve">, </w:t>
      </w:r>
      <w:r w:rsidR="00C61421" w:rsidRPr="00884F7A">
        <w:rPr>
          <w:lang w:val="en-GB"/>
        </w:rPr>
        <w:t>Lviv</w:t>
      </w:r>
      <w:r w:rsidR="00E502F9">
        <w:rPr>
          <w:lang w:val="uk-UA"/>
        </w:rPr>
        <w:t xml:space="preserve">, </w:t>
      </w:r>
      <w:r w:rsidR="00E502F9" w:rsidRPr="00E502F9">
        <w:rPr>
          <w:lang w:val="uk-UA"/>
        </w:rPr>
        <w:t xml:space="preserve">12 </w:t>
      </w:r>
      <w:proofErr w:type="spellStart"/>
      <w:r w:rsidR="00E502F9" w:rsidRPr="00E502F9">
        <w:rPr>
          <w:lang w:val="uk-UA"/>
        </w:rPr>
        <w:t>Stepan</w:t>
      </w:r>
      <w:proofErr w:type="spellEnd"/>
      <w:r w:rsidR="00E502F9" w:rsidRPr="00E502F9">
        <w:rPr>
          <w:lang w:val="uk-UA"/>
        </w:rPr>
        <w:t xml:space="preserve"> </w:t>
      </w:r>
      <w:proofErr w:type="spellStart"/>
      <w:r w:rsidR="00E502F9" w:rsidRPr="00E502F9">
        <w:rPr>
          <w:lang w:val="uk-UA"/>
        </w:rPr>
        <w:t>Bandera</w:t>
      </w:r>
      <w:proofErr w:type="spellEnd"/>
      <w:r w:rsidR="00E502F9" w:rsidRPr="00E502F9">
        <w:rPr>
          <w:lang w:val="uk-UA"/>
        </w:rPr>
        <w:t xml:space="preserve"> </w:t>
      </w:r>
      <w:proofErr w:type="spellStart"/>
      <w:r w:rsidR="00E502F9" w:rsidRPr="00E502F9">
        <w:rPr>
          <w:lang w:val="uk-UA"/>
        </w:rPr>
        <w:t>Street</w:t>
      </w:r>
      <w:proofErr w:type="spellEnd"/>
      <w:r w:rsidRPr="00884F7A">
        <w:rPr>
          <w:lang w:val="en-GB"/>
        </w:rPr>
        <w:t>; e-mail: halyna.v.myhal@lpnu.ua</w:t>
      </w:r>
    </w:p>
    <w:p w14:paraId="5E4CC4C6" w14:textId="77777777" w:rsidR="008E5304" w:rsidRPr="008E5304" w:rsidRDefault="00B12F68" w:rsidP="008E5304">
      <w:pPr>
        <w:pStyle w:val="Abstract"/>
        <w:suppressAutoHyphens w:val="0"/>
        <w:spacing w:before="120"/>
        <w:ind w:firstLine="0"/>
        <w:rPr>
          <w:lang w:val="en-GB"/>
        </w:rPr>
      </w:pPr>
      <w:r w:rsidRPr="008E5304">
        <w:rPr>
          <w:lang w:val="en-GB"/>
        </w:rPr>
        <w:t>Abstract </w:t>
      </w:r>
      <w:r w:rsidRPr="008E5304">
        <w:rPr>
          <w:lang w:val="en-GB"/>
        </w:rPr>
        <w:sym w:font="Arial" w:char="2013"/>
      </w:r>
      <w:r w:rsidR="00947A09" w:rsidRPr="008E5304">
        <w:rPr>
          <w:lang w:val="en-GB"/>
        </w:rPr>
        <w:t xml:space="preserve"> </w:t>
      </w:r>
      <w:proofErr w:type="spellStart"/>
      <w:r w:rsidR="008E5304" w:rsidRPr="008E5304">
        <w:rPr>
          <w:lang w:val="en-GB"/>
        </w:rPr>
        <w:t>The</w:t>
      </w:r>
      <w:proofErr w:type="spellEnd"/>
      <w:r w:rsidR="008E5304" w:rsidRPr="008E5304">
        <w:rPr>
          <w:lang w:val="en-GB"/>
        </w:rPr>
        <w:t xml:space="preserve"> </w:t>
      </w:r>
      <w:proofErr w:type="spellStart"/>
      <w:r w:rsidR="008E5304" w:rsidRPr="008E5304">
        <w:rPr>
          <w:lang w:val="en-GB"/>
        </w:rPr>
        <w:t>study</w:t>
      </w:r>
      <w:proofErr w:type="spellEnd"/>
      <w:r w:rsidR="008E5304" w:rsidRPr="008E5304">
        <w:rPr>
          <w:lang w:val="en-GB"/>
        </w:rPr>
        <w:t xml:space="preserve"> </w:t>
      </w:r>
      <w:proofErr w:type="spellStart"/>
      <w:r w:rsidR="008E5304" w:rsidRPr="008E5304">
        <w:rPr>
          <w:lang w:val="en-GB"/>
        </w:rPr>
        <w:t>examines</w:t>
      </w:r>
      <w:proofErr w:type="spellEnd"/>
      <w:r w:rsidR="008E5304" w:rsidRPr="008E5304">
        <w:rPr>
          <w:lang w:val="en-GB"/>
        </w:rPr>
        <w:t xml:space="preserve"> </w:t>
      </w:r>
      <w:proofErr w:type="spellStart"/>
      <w:r w:rsidR="008E5304" w:rsidRPr="008E5304">
        <w:rPr>
          <w:lang w:val="en-GB"/>
        </w:rPr>
        <w:t>visual</w:t>
      </w:r>
      <w:proofErr w:type="spellEnd"/>
      <w:r w:rsidR="008E5304" w:rsidRPr="008E5304">
        <w:rPr>
          <w:lang w:val="en-GB"/>
        </w:rPr>
        <w:t xml:space="preserve"> </w:t>
      </w:r>
      <w:proofErr w:type="spellStart"/>
      <w:r w:rsidR="008E5304" w:rsidRPr="008E5304">
        <w:rPr>
          <w:lang w:val="en-GB"/>
        </w:rPr>
        <w:t>disinformation</w:t>
      </w:r>
      <w:proofErr w:type="spellEnd"/>
      <w:r w:rsidR="008E5304" w:rsidRPr="008E5304">
        <w:rPr>
          <w:lang w:val="en-GB"/>
        </w:rPr>
        <w:t xml:space="preserve"> </w:t>
      </w:r>
      <w:proofErr w:type="spellStart"/>
      <w:r w:rsidR="008E5304" w:rsidRPr="008E5304">
        <w:rPr>
          <w:lang w:val="en-GB"/>
        </w:rPr>
        <w:t>risks</w:t>
      </w:r>
      <w:proofErr w:type="spellEnd"/>
      <w:r w:rsidR="008E5304" w:rsidRPr="008E5304">
        <w:rPr>
          <w:lang w:val="en-GB"/>
        </w:rPr>
        <w:t xml:space="preserve"> </w:t>
      </w:r>
      <w:proofErr w:type="spellStart"/>
      <w:r w:rsidR="008E5304" w:rsidRPr="008E5304">
        <w:rPr>
          <w:lang w:val="en-GB"/>
        </w:rPr>
        <w:t>in</w:t>
      </w:r>
      <w:proofErr w:type="spellEnd"/>
      <w:r w:rsidR="008E5304" w:rsidRPr="008E5304">
        <w:rPr>
          <w:lang w:val="en-GB"/>
        </w:rPr>
        <w:t xml:space="preserve"> </w:t>
      </w:r>
      <w:proofErr w:type="spellStart"/>
      <w:r w:rsidR="008E5304" w:rsidRPr="008E5304">
        <w:rPr>
          <w:lang w:val="en-GB"/>
        </w:rPr>
        <w:t>the</w:t>
      </w:r>
      <w:proofErr w:type="spellEnd"/>
      <w:r w:rsidR="008E5304" w:rsidRPr="008E5304">
        <w:rPr>
          <w:lang w:val="en-GB"/>
        </w:rPr>
        <w:t xml:space="preserve"> </w:t>
      </w:r>
      <w:proofErr w:type="spellStart"/>
      <w:r w:rsidR="008E5304" w:rsidRPr="008E5304">
        <w:rPr>
          <w:lang w:val="en-GB"/>
        </w:rPr>
        <w:t>age</w:t>
      </w:r>
      <w:proofErr w:type="spellEnd"/>
      <w:r w:rsidR="008E5304" w:rsidRPr="008E5304">
        <w:rPr>
          <w:lang w:val="en-GB"/>
        </w:rPr>
        <w:t xml:space="preserve"> </w:t>
      </w:r>
      <w:proofErr w:type="spellStart"/>
      <w:r w:rsidR="008E5304" w:rsidRPr="008E5304">
        <w:rPr>
          <w:lang w:val="en-GB"/>
        </w:rPr>
        <w:t>of</w:t>
      </w:r>
      <w:proofErr w:type="spellEnd"/>
      <w:r w:rsidR="008E5304" w:rsidRPr="008E5304">
        <w:rPr>
          <w:lang w:val="en-GB"/>
        </w:rPr>
        <w:t xml:space="preserve"> </w:t>
      </w:r>
      <w:proofErr w:type="spellStart"/>
      <w:r w:rsidR="008E5304" w:rsidRPr="008E5304">
        <w:rPr>
          <w:lang w:val="en-GB"/>
        </w:rPr>
        <w:t>generative</w:t>
      </w:r>
      <w:proofErr w:type="spellEnd"/>
      <w:r w:rsidR="008E5304" w:rsidRPr="008E5304">
        <w:rPr>
          <w:lang w:val="en-GB"/>
        </w:rPr>
        <w:t xml:space="preserve"> AI. </w:t>
      </w:r>
      <w:proofErr w:type="spellStart"/>
      <w:r w:rsidR="008E5304" w:rsidRPr="008E5304">
        <w:rPr>
          <w:lang w:val="en-GB"/>
        </w:rPr>
        <w:t>It</w:t>
      </w:r>
      <w:proofErr w:type="spellEnd"/>
      <w:r w:rsidR="008E5304" w:rsidRPr="008E5304">
        <w:rPr>
          <w:lang w:val="en-GB"/>
        </w:rPr>
        <w:t xml:space="preserve"> </w:t>
      </w:r>
      <w:proofErr w:type="spellStart"/>
      <w:r w:rsidR="008E5304" w:rsidRPr="008E5304">
        <w:rPr>
          <w:lang w:val="en-GB"/>
        </w:rPr>
        <w:t>conceptualizes</w:t>
      </w:r>
      <w:proofErr w:type="spellEnd"/>
      <w:r w:rsidR="008E5304" w:rsidRPr="008E5304">
        <w:rPr>
          <w:lang w:val="en-GB"/>
        </w:rPr>
        <w:t xml:space="preserve"> a </w:t>
      </w:r>
      <w:proofErr w:type="spellStart"/>
      <w:r w:rsidR="008E5304" w:rsidRPr="008E5304">
        <w:rPr>
          <w:lang w:val="en-GB"/>
        </w:rPr>
        <w:t>dual</w:t>
      </w:r>
      <w:proofErr w:type="spellEnd"/>
      <w:r w:rsidR="008E5304" w:rsidRPr="008E5304">
        <w:rPr>
          <w:lang w:val="en-GB"/>
        </w:rPr>
        <w:t xml:space="preserve"> </w:t>
      </w:r>
      <w:proofErr w:type="spellStart"/>
      <w:r w:rsidR="008E5304" w:rsidRPr="008E5304">
        <w:rPr>
          <w:lang w:val="en-GB"/>
        </w:rPr>
        <w:t>trust</w:t>
      </w:r>
      <w:proofErr w:type="spellEnd"/>
      <w:r w:rsidR="008E5304" w:rsidRPr="008E5304">
        <w:rPr>
          <w:lang w:val="en-GB"/>
        </w:rPr>
        <w:t xml:space="preserve"> </w:t>
      </w:r>
      <w:proofErr w:type="spellStart"/>
      <w:r w:rsidR="008E5304" w:rsidRPr="008E5304">
        <w:rPr>
          <w:lang w:val="en-GB"/>
        </w:rPr>
        <w:t>risk</w:t>
      </w:r>
      <w:proofErr w:type="spellEnd"/>
      <w:r w:rsidR="008E5304" w:rsidRPr="008E5304">
        <w:rPr>
          <w:lang w:val="en-GB"/>
        </w:rPr>
        <w:t xml:space="preserve">: </w:t>
      </w:r>
      <w:proofErr w:type="spellStart"/>
      <w:r w:rsidR="008E5304" w:rsidRPr="008E5304">
        <w:rPr>
          <w:lang w:val="en-GB"/>
        </w:rPr>
        <w:t>accepting</w:t>
      </w:r>
      <w:proofErr w:type="spellEnd"/>
      <w:r w:rsidR="008E5304" w:rsidRPr="008E5304">
        <w:rPr>
          <w:lang w:val="en-GB"/>
        </w:rPr>
        <w:t xml:space="preserve"> </w:t>
      </w:r>
      <w:proofErr w:type="spellStart"/>
      <w:r w:rsidR="008E5304" w:rsidRPr="008E5304">
        <w:rPr>
          <w:lang w:val="en-GB"/>
        </w:rPr>
        <w:t>misleading</w:t>
      </w:r>
      <w:proofErr w:type="spellEnd"/>
      <w:r w:rsidR="008E5304" w:rsidRPr="008E5304">
        <w:rPr>
          <w:lang w:val="en-GB"/>
        </w:rPr>
        <w:t xml:space="preserve"> </w:t>
      </w:r>
      <w:proofErr w:type="spellStart"/>
      <w:r w:rsidR="008E5304" w:rsidRPr="008E5304">
        <w:rPr>
          <w:lang w:val="en-GB"/>
        </w:rPr>
        <w:t>images</w:t>
      </w:r>
      <w:proofErr w:type="spellEnd"/>
      <w:r w:rsidR="008E5304" w:rsidRPr="008E5304">
        <w:rPr>
          <w:lang w:val="en-GB"/>
        </w:rPr>
        <w:t xml:space="preserve"> </w:t>
      </w:r>
      <w:proofErr w:type="spellStart"/>
      <w:r w:rsidR="008E5304" w:rsidRPr="008E5304">
        <w:rPr>
          <w:lang w:val="en-GB"/>
        </w:rPr>
        <w:t>as</w:t>
      </w:r>
      <w:proofErr w:type="spellEnd"/>
      <w:r w:rsidR="008E5304" w:rsidRPr="008E5304">
        <w:rPr>
          <w:lang w:val="en-GB"/>
        </w:rPr>
        <w:t xml:space="preserve"> </w:t>
      </w:r>
      <w:proofErr w:type="spellStart"/>
      <w:r w:rsidR="008E5304" w:rsidRPr="008E5304">
        <w:rPr>
          <w:lang w:val="en-GB"/>
        </w:rPr>
        <w:t>evidence</w:t>
      </w:r>
      <w:proofErr w:type="spellEnd"/>
      <w:r w:rsidR="008E5304" w:rsidRPr="008E5304">
        <w:rPr>
          <w:lang w:val="en-GB"/>
        </w:rPr>
        <w:t xml:space="preserve"> </w:t>
      </w:r>
      <w:proofErr w:type="spellStart"/>
      <w:r w:rsidR="008E5304" w:rsidRPr="008E5304">
        <w:rPr>
          <w:lang w:val="en-GB"/>
        </w:rPr>
        <w:t>and</w:t>
      </w:r>
      <w:proofErr w:type="spellEnd"/>
      <w:r w:rsidR="008E5304" w:rsidRPr="008E5304">
        <w:rPr>
          <w:lang w:val="en-GB"/>
        </w:rPr>
        <w:t xml:space="preserve"> </w:t>
      </w:r>
      <w:proofErr w:type="spellStart"/>
      <w:r w:rsidR="008E5304" w:rsidRPr="008E5304">
        <w:rPr>
          <w:lang w:val="en-GB"/>
        </w:rPr>
        <w:t>dismissing</w:t>
      </w:r>
      <w:proofErr w:type="spellEnd"/>
      <w:r w:rsidR="008E5304" w:rsidRPr="008E5304">
        <w:rPr>
          <w:lang w:val="en-GB"/>
        </w:rPr>
        <w:t xml:space="preserve"> </w:t>
      </w:r>
      <w:proofErr w:type="spellStart"/>
      <w:r w:rsidR="008E5304" w:rsidRPr="008E5304">
        <w:rPr>
          <w:lang w:val="en-GB"/>
        </w:rPr>
        <w:t>authentic</w:t>
      </w:r>
      <w:proofErr w:type="spellEnd"/>
      <w:r w:rsidR="008E5304" w:rsidRPr="008E5304">
        <w:rPr>
          <w:lang w:val="en-GB"/>
        </w:rPr>
        <w:t xml:space="preserve"> </w:t>
      </w:r>
      <w:proofErr w:type="spellStart"/>
      <w:r w:rsidR="008E5304" w:rsidRPr="008E5304">
        <w:rPr>
          <w:lang w:val="en-GB"/>
        </w:rPr>
        <w:t>evidence</w:t>
      </w:r>
      <w:proofErr w:type="spellEnd"/>
      <w:r w:rsidR="008E5304" w:rsidRPr="008E5304">
        <w:rPr>
          <w:lang w:val="en-GB"/>
        </w:rPr>
        <w:t xml:space="preserve"> </w:t>
      </w:r>
      <w:proofErr w:type="spellStart"/>
      <w:r w:rsidR="008E5304" w:rsidRPr="008E5304">
        <w:rPr>
          <w:lang w:val="en-GB"/>
        </w:rPr>
        <w:t>as</w:t>
      </w:r>
      <w:proofErr w:type="spellEnd"/>
      <w:r w:rsidR="008E5304" w:rsidRPr="008E5304">
        <w:rPr>
          <w:lang w:val="en-GB"/>
        </w:rPr>
        <w:t xml:space="preserve"> </w:t>
      </w:r>
      <w:proofErr w:type="spellStart"/>
      <w:r w:rsidR="008E5304" w:rsidRPr="008E5304">
        <w:rPr>
          <w:lang w:val="en-GB"/>
        </w:rPr>
        <w:t>fabricated</w:t>
      </w:r>
      <w:proofErr w:type="spellEnd"/>
      <w:r w:rsidR="008E5304" w:rsidRPr="008E5304">
        <w:rPr>
          <w:lang w:val="en-GB"/>
        </w:rPr>
        <w:t xml:space="preserve">. A </w:t>
      </w:r>
      <w:proofErr w:type="spellStart"/>
      <w:r w:rsidR="008E5304" w:rsidRPr="008E5304">
        <w:rPr>
          <w:lang w:val="en-GB"/>
        </w:rPr>
        <w:t>seven-criterion</w:t>
      </w:r>
      <w:proofErr w:type="spellEnd"/>
      <w:r w:rsidR="008E5304" w:rsidRPr="008E5304">
        <w:rPr>
          <w:lang w:val="en-GB"/>
        </w:rPr>
        <w:t xml:space="preserve">, </w:t>
      </w:r>
      <w:proofErr w:type="spellStart"/>
      <w:r w:rsidR="008E5304" w:rsidRPr="008E5304">
        <w:rPr>
          <w:lang w:val="en-GB"/>
        </w:rPr>
        <w:t>risk-oriented</w:t>
      </w:r>
      <w:proofErr w:type="spellEnd"/>
      <w:r w:rsidR="008E5304" w:rsidRPr="008E5304">
        <w:rPr>
          <w:lang w:val="en-GB"/>
        </w:rPr>
        <w:t xml:space="preserve"> </w:t>
      </w:r>
      <w:proofErr w:type="spellStart"/>
      <w:r w:rsidR="008E5304" w:rsidRPr="008E5304">
        <w:rPr>
          <w:lang w:val="en-GB"/>
        </w:rPr>
        <w:t>approach</w:t>
      </w:r>
      <w:proofErr w:type="spellEnd"/>
      <w:r w:rsidR="008E5304" w:rsidRPr="008E5304">
        <w:rPr>
          <w:lang w:val="en-GB"/>
        </w:rPr>
        <w:t xml:space="preserve"> </w:t>
      </w:r>
      <w:proofErr w:type="spellStart"/>
      <w:r w:rsidR="008E5304" w:rsidRPr="008E5304">
        <w:rPr>
          <w:lang w:val="en-GB"/>
        </w:rPr>
        <w:t>is</w:t>
      </w:r>
      <w:proofErr w:type="spellEnd"/>
      <w:r w:rsidR="008E5304" w:rsidRPr="008E5304">
        <w:rPr>
          <w:lang w:val="en-GB"/>
        </w:rPr>
        <w:t xml:space="preserve"> </w:t>
      </w:r>
      <w:proofErr w:type="spellStart"/>
      <w:r w:rsidR="008E5304" w:rsidRPr="008E5304">
        <w:rPr>
          <w:lang w:val="en-GB"/>
        </w:rPr>
        <w:t>proposed</w:t>
      </w:r>
      <w:proofErr w:type="spellEnd"/>
      <w:r w:rsidR="008E5304" w:rsidRPr="008E5304">
        <w:rPr>
          <w:lang w:val="en-GB"/>
        </w:rPr>
        <w:t xml:space="preserve"> </w:t>
      </w:r>
      <w:proofErr w:type="spellStart"/>
      <w:r w:rsidR="008E5304" w:rsidRPr="008E5304">
        <w:rPr>
          <w:lang w:val="en-GB"/>
        </w:rPr>
        <w:t>to</w:t>
      </w:r>
      <w:proofErr w:type="spellEnd"/>
      <w:r w:rsidR="008E5304" w:rsidRPr="008E5304">
        <w:rPr>
          <w:lang w:val="en-GB"/>
        </w:rPr>
        <w:t xml:space="preserve"> </w:t>
      </w:r>
      <w:proofErr w:type="spellStart"/>
      <w:r w:rsidR="008E5304" w:rsidRPr="008E5304">
        <w:rPr>
          <w:lang w:val="en-GB"/>
        </w:rPr>
        <w:t>connect</w:t>
      </w:r>
      <w:proofErr w:type="spellEnd"/>
      <w:r w:rsidR="008E5304" w:rsidRPr="008E5304">
        <w:rPr>
          <w:lang w:val="en-GB"/>
        </w:rPr>
        <w:t xml:space="preserve"> </w:t>
      </w:r>
      <w:proofErr w:type="spellStart"/>
      <w:r w:rsidR="008E5304" w:rsidRPr="008E5304">
        <w:rPr>
          <w:lang w:val="en-GB"/>
        </w:rPr>
        <w:t>content</w:t>
      </w:r>
      <w:proofErr w:type="spellEnd"/>
      <w:r w:rsidR="008E5304" w:rsidRPr="008E5304">
        <w:rPr>
          <w:lang w:val="en-GB"/>
        </w:rPr>
        <w:t xml:space="preserve"> </w:t>
      </w:r>
      <w:proofErr w:type="spellStart"/>
      <w:r w:rsidR="008E5304" w:rsidRPr="008E5304">
        <w:rPr>
          <w:lang w:val="en-GB"/>
        </w:rPr>
        <w:t>verification</w:t>
      </w:r>
      <w:proofErr w:type="spellEnd"/>
      <w:r w:rsidR="008E5304" w:rsidRPr="008E5304">
        <w:rPr>
          <w:lang w:val="en-GB"/>
        </w:rPr>
        <w:t xml:space="preserve"> </w:t>
      </w:r>
      <w:proofErr w:type="spellStart"/>
      <w:r w:rsidR="008E5304" w:rsidRPr="008E5304">
        <w:rPr>
          <w:lang w:val="en-GB"/>
        </w:rPr>
        <w:t>with</w:t>
      </w:r>
      <w:proofErr w:type="spellEnd"/>
      <w:r w:rsidR="008E5304" w:rsidRPr="008E5304">
        <w:rPr>
          <w:lang w:val="en-GB"/>
        </w:rPr>
        <w:t xml:space="preserve"> </w:t>
      </w:r>
      <w:proofErr w:type="spellStart"/>
      <w:r w:rsidR="008E5304" w:rsidRPr="008E5304">
        <w:rPr>
          <w:lang w:val="en-GB"/>
        </w:rPr>
        <w:t>responsible</w:t>
      </w:r>
      <w:proofErr w:type="spellEnd"/>
      <w:r w:rsidR="008E5304" w:rsidRPr="008E5304">
        <w:rPr>
          <w:lang w:val="en-GB"/>
        </w:rPr>
        <w:t xml:space="preserve"> </w:t>
      </w:r>
      <w:proofErr w:type="spellStart"/>
      <w:r w:rsidR="008E5304" w:rsidRPr="008E5304">
        <w:rPr>
          <w:lang w:val="en-GB"/>
        </w:rPr>
        <w:t>use</w:t>
      </w:r>
      <w:proofErr w:type="spellEnd"/>
      <w:r w:rsidR="008E5304" w:rsidRPr="008E5304">
        <w:rPr>
          <w:lang w:val="en-GB"/>
        </w:rPr>
        <w:t xml:space="preserve"> </w:t>
      </w:r>
      <w:proofErr w:type="spellStart"/>
      <w:r w:rsidR="008E5304" w:rsidRPr="008E5304">
        <w:rPr>
          <w:lang w:val="en-GB"/>
        </w:rPr>
        <w:t>and</w:t>
      </w:r>
      <w:proofErr w:type="spellEnd"/>
      <w:r w:rsidR="008E5304" w:rsidRPr="008E5304">
        <w:rPr>
          <w:lang w:val="en-GB"/>
        </w:rPr>
        <w:t xml:space="preserve"> </w:t>
      </w:r>
      <w:proofErr w:type="spellStart"/>
      <w:r w:rsidR="008E5304" w:rsidRPr="008E5304">
        <w:rPr>
          <w:lang w:val="en-GB"/>
        </w:rPr>
        <w:t>safety-related</w:t>
      </w:r>
      <w:proofErr w:type="spellEnd"/>
      <w:r w:rsidR="008E5304" w:rsidRPr="008E5304">
        <w:rPr>
          <w:lang w:val="en-GB"/>
        </w:rPr>
        <w:t xml:space="preserve"> </w:t>
      </w:r>
      <w:proofErr w:type="spellStart"/>
      <w:r w:rsidR="008E5304" w:rsidRPr="008E5304">
        <w:rPr>
          <w:lang w:val="en-GB"/>
        </w:rPr>
        <w:t>decisions</w:t>
      </w:r>
      <w:proofErr w:type="spellEnd"/>
      <w:r w:rsidR="008E5304" w:rsidRPr="008E5304">
        <w:rPr>
          <w:lang w:val="en-GB"/>
        </w:rPr>
        <w:t>.</w:t>
      </w:r>
    </w:p>
    <w:p w14:paraId="36912969" w14:textId="0BB6FE63" w:rsidR="003E2A22" w:rsidRPr="00884F7A" w:rsidRDefault="008E5304" w:rsidP="003E2A22">
      <w:pPr>
        <w:pStyle w:val="Abstract"/>
        <w:suppressAutoHyphens w:val="0"/>
        <w:spacing w:before="120"/>
        <w:ind w:firstLine="0"/>
        <w:rPr>
          <w:b w:val="0"/>
          <w:bCs/>
          <w:i w:val="0"/>
          <w:iCs/>
          <w:lang w:val="en-GB"/>
        </w:rPr>
      </w:pPr>
      <w:proofErr w:type="spellStart"/>
      <w:r w:rsidRPr="008E5304">
        <w:rPr>
          <w:b w:val="0"/>
          <w:bCs/>
          <w:i w:val="0"/>
          <w:iCs/>
        </w:rPr>
        <w:t>Keywords</w:t>
      </w:r>
      <w:proofErr w:type="spellEnd"/>
      <w:r>
        <w:t xml:space="preserve"> </w:t>
      </w:r>
      <w:r w:rsidR="007A2F26" w:rsidRPr="00884F7A">
        <w:rPr>
          <w:b w:val="0"/>
          <w:bCs/>
          <w:i w:val="0"/>
          <w:iCs/>
          <w:lang w:val="en-GB"/>
        </w:rPr>
        <w:t xml:space="preserve">– </w:t>
      </w:r>
      <w:r w:rsidR="003E2A22" w:rsidRPr="00884F7A">
        <w:rPr>
          <w:b w:val="0"/>
          <w:bCs/>
          <w:i w:val="0"/>
          <w:iCs/>
          <w:lang w:val="en-GB"/>
        </w:rPr>
        <w:t>visual disinformation, information security, trust, human factor, digital content.</w:t>
      </w:r>
    </w:p>
    <w:p w14:paraId="40CA58ED" w14:textId="1E08116C" w:rsidR="00756E3F" w:rsidRPr="00884F7A" w:rsidRDefault="00B12F68" w:rsidP="003E2A22">
      <w:pPr>
        <w:pStyle w:val="LEAHeading"/>
        <w:spacing w:before="0" w:after="0"/>
        <w:jc w:val="center"/>
        <w:rPr>
          <w:lang w:val="en-GB"/>
        </w:rPr>
      </w:pPr>
      <w:r w:rsidRPr="00884F7A">
        <w:rPr>
          <w:lang w:val="en-GB"/>
        </w:rPr>
        <w:t xml:space="preserve">Introduction </w:t>
      </w:r>
    </w:p>
    <w:p w14:paraId="783D1BE3" w14:textId="665EC01B" w:rsidR="003E2A22" w:rsidRPr="00884F7A" w:rsidRDefault="003E2A22" w:rsidP="003E2A22">
      <w:pPr>
        <w:pStyle w:val="af"/>
        <w:spacing w:before="0" w:after="0"/>
        <w:jc w:val="both"/>
        <w:rPr>
          <w:bCs/>
          <w:lang w:val="en-GB"/>
        </w:rPr>
      </w:pPr>
      <w:r w:rsidRPr="00884F7A">
        <w:rPr>
          <w:rFonts w:eastAsia="Noto Serif CJK SC" w:cs="Lohit Devanagari"/>
          <w:lang w:val="en-GB" w:bidi="hi-IN"/>
        </w:rPr>
        <w:t>The proliferation of generative artificial intelligence (AI) is transforming how digital visual information is created and disseminated. Photorealistic images, videos, and 3D scenes can simulate documentary evidence, depict fictional events, or portray significantly altered circumstances. In the context of information and military threats, such content can influence the perception of danger and the assessment of risks. This creates a dual challenge regarding trust: synthetic or manipulated material may be mistaken for authentic, while genuine evidence might be groundlessly dismissed as a fabrication.</w:t>
      </w:r>
      <w:r w:rsidR="009065FF">
        <w:rPr>
          <w:rFonts w:eastAsia="Noto Serif CJK SC" w:cs="Lohit Devanagari"/>
          <w:lang w:val="en-GB" w:bidi="hi-IN"/>
        </w:rPr>
        <w:t xml:space="preserve"> </w:t>
      </w:r>
      <w:r w:rsidRPr="00884F7A">
        <w:rPr>
          <w:lang w:val="en-GB"/>
        </w:rPr>
        <w:t xml:space="preserve">Contemporary research confirms the complexity of assessing the authenticity of visual messages. Farooq and de </w:t>
      </w:r>
      <w:proofErr w:type="spellStart"/>
      <w:r w:rsidRPr="00884F7A">
        <w:rPr>
          <w:lang w:val="en-GB"/>
        </w:rPr>
        <w:t>Vreese</w:t>
      </w:r>
      <w:proofErr w:type="spellEnd"/>
      <w:r w:rsidRPr="00884F7A">
        <w:rPr>
          <w:lang w:val="en-GB"/>
        </w:rPr>
        <w:t xml:space="preserve"> found that more realistic AI-generated images were more frequently perceived as genuine by participants [1]. </w:t>
      </w:r>
      <w:proofErr w:type="spellStart"/>
      <w:r w:rsidRPr="00884F7A">
        <w:rPr>
          <w:lang w:val="en-GB"/>
        </w:rPr>
        <w:t>Velásquez</w:t>
      </w:r>
      <w:proofErr w:type="spellEnd"/>
      <w:r w:rsidRPr="00884F7A">
        <w:rPr>
          <w:lang w:val="en-GB"/>
        </w:rPr>
        <w:t xml:space="preserve">-Salamanca et al. described errors in the interpretation of synthetic versus human-created images [2]. Wittenberg et al. investigated how various methods of </w:t>
      </w:r>
      <w:proofErr w:type="spellStart"/>
      <w:r w:rsidRPr="00884F7A">
        <w:rPr>
          <w:lang w:val="en-GB"/>
        </w:rPr>
        <w:t>labeling</w:t>
      </w:r>
      <w:proofErr w:type="spellEnd"/>
      <w:r w:rsidRPr="00884F7A">
        <w:rPr>
          <w:lang w:val="en-GB"/>
        </w:rPr>
        <w:t xml:space="preserve"> AI-generated content influence user beliefs [3]. A NIST report systematizes technical approaches for establishing provenance, </w:t>
      </w:r>
      <w:proofErr w:type="spellStart"/>
      <w:r w:rsidRPr="00884F7A">
        <w:rPr>
          <w:lang w:val="en-GB"/>
        </w:rPr>
        <w:t>labeling</w:t>
      </w:r>
      <w:proofErr w:type="spellEnd"/>
      <w:r w:rsidRPr="00884F7A">
        <w:rPr>
          <w:lang w:val="en-GB"/>
        </w:rPr>
        <w:t xml:space="preserve">, and detecting synthetic material [4]. At the same time, determining how an image was created is not the same as verifying the veracity of claims regarding an event. Therefore, for security-related tasks, it is essential to combine the assessment of provenance and context with an analysis of the potential consequences of misinterpretation. </w:t>
      </w:r>
      <w:r w:rsidRPr="00884F7A">
        <w:rPr>
          <w:b/>
          <w:lang w:val="en-GB"/>
        </w:rPr>
        <w:t xml:space="preserve">The objective of this work is </w:t>
      </w:r>
      <w:r w:rsidRPr="00884F7A">
        <w:rPr>
          <w:bCs/>
          <w:lang w:val="en-GB"/>
        </w:rPr>
        <w:t xml:space="preserve">to systematize the risks associated with visual disinformation and to substantiate a risk-based approach to the critical verification of digital content, aimed at fostering well-founded trust and the responsible use of information. </w:t>
      </w:r>
    </w:p>
    <w:p w14:paraId="4CDA5CD4" w14:textId="77777777" w:rsidR="005601BD" w:rsidRPr="00884F7A" w:rsidRDefault="005601BD" w:rsidP="005601BD">
      <w:pPr>
        <w:pStyle w:val="LEAHeading"/>
        <w:spacing w:before="0" w:after="0"/>
        <w:jc w:val="center"/>
        <w:rPr>
          <w:lang w:val="en-GB"/>
        </w:rPr>
      </w:pPr>
      <w:r w:rsidRPr="00884F7A">
        <w:rPr>
          <w:lang w:val="en-GB"/>
        </w:rPr>
        <w:t>Key Risks of Visual Disinformation</w:t>
      </w:r>
    </w:p>
    <w:p w14:paraId="71F5D23C" w14:textId="242CD837" w:rsidR="005601BD" w:rsidRPr="00884F7A" w:rsidRDefault="005601BD" w:rsidP="005601BD">
      <w:pPr>
        <w:pStyle w:val="LEABody"/>
        <w:jc w:val="both"/>
        <w:rPr>
          <w:lang w:val="en-GB"/>
        </w:rPr>
      </w:pPr>
      <w:r w:rsidRPr="00884F7A">
        <w:rPr>
          <w:lang w:val="en-GB"/>
        </w:rPr>
        <w:t>From the perspective of the human factor, the risks associated with visual disinformation are best examined through the mechanisms that lead to errors during information perception, situational awareness, and decision-making. Inaccurate or manipulatively presented visual content can distort the perception of significant environmental cues, create a false understanding of cause-and-effect relationships and future projections, and influence the choice of subsequent actions. Consequently, under certain conditions, an information-related risk can evolve into the risk of making an erroneous decision, with potentially dangerous consequences.</w:t>
      </w:r>
      <w:r w:rsidR="00884F7A">
        <w:rPr>
          <w:lang w:val="en-GB"/>
        </w:rPr>
        <w:t xml:space="preserve"> </w:t>
      </w:r>
      <w:r w:rsidRPr="00884F7A">
        <w:rPr>
          <w:lang w:val="en-GB"/>
        </w:rPr>
        <w:t>Five interrelated manifestations of this risk have been identified, encompassing the creation and presentation of visual information, the specificities of how it is perceived, and the responsibility associated with its dissemination</w:t>
      </w:r>
      <w:r w:rsidR="00884F7A">
        <w:rPr>
          <w:lang w:val="en-GB"/>
        </w:rPr>
        <w:t xml:space="preserve">: 1) </w:t>
      </w:r>
      <w:r w:rsidRPr="00884F7A">
        <w:rPr>
          <w:lang w:val="en-GB"/>
        </w:rPr>
        <w:t xml:space="preserve">Falsification of events. Generative technologies make it possible to create convincing images of situations that never occurred. Presenting </w:t>
      </w:r>
      <w:r w:rsidR="00FB6E07" w:rsidRPr="00884F7A">
        <w:rPr>
          <w:lang w:val="en-GB"/>
        </w:rPr>
        <w:t>this as documentary evidence</w:t>
      </w:r>
      <w:r w:rsidRPr="00884F7A">
        <w:rPr>
          <w:lang w:val="en-GB"/>
        </w:rPr>
        <w:t xml:space="preserve"> distorts the perception of the actual situation.</w:t>
      </w:r>
      <w:r w:rsidR="00884F7A">
        <w:rPr>
          <w:lang w:val="en-GB"/>
        </w:rPr>
        <w:t xml:space="preserve"> 2) </w:t>
      </w:r>
      <w:r w:rsidRPr="00884F7A">
        <w:rPr>
          <w:lang w:val="en-GB"/>
        </w:rPr>
        <w:t xml:space="preserve">Manipulation of context. An authentic photograph can also be misleading if its caption, date, location, or the circumstances surrounding </w:t>
      </w:r>
      <w:r w:rsidRPr="00884F7A">
        <w:rPr>
          <w:lang w:val="en-GB"/>
        </w:rPr>
        <w:lastRenderedPageBreak/>
        <w:t>it are altered. In such cases, it is not necessarily the image itself that is false, but rather the message associated with it.</w:t>
      </w:r>
      <w:r w:rsidR="00884F7A">
        <w:rPr>
          <w:lang w:val="en-GB"/>
        </w:rPr>
        <w:t xml:space="preserve"> 3) </w:t>
      </w:r>
      <w:r w:rsidRPr="00884F7A">
        <w:rPr>
          <w:lang w:val="en-GB"/>
        </w:rPr>
        <w:t>Over-reliance on visual persuasiveness. High levels of detail, naturalistic lighting, and the characteristic features of a photographic record can create an illusion of authenticity, even in the absence of independent verification.</w:t>
      </w:r>
      <w:r w:rsidR="00884F7A">
        <w:rPr>
          <w:lang w:val="en-GB"/>
        </w:rPr>
        <w:t xml:space="preserve"> 4) </w:t>
      </w:r>
      <w:r w:rsidRPr="00884F7A">
        <w:rPr>
          <w:lang w:val="en-GB"/>
        </w:rPr>
        <w:t>Undisclosed use of AI. A lack of information regarding an image's synthetic origin or significant editing increases the risk that such visual material will be mistakenly interpreted as genuine evidence.</w:t>
      </w:r>
      <w:r w:rsidR="00884F7A">
        <w:rPr>
          <w:lang w:val="en-GB"/>
        </w:rPr>
        <w:t xml:space="preserve"> 5) </w:t>
      </w:r>
      <w:r w:rsidRPr="00884F7A">
        <w:rPr>
          <w:lang w:val="en-GB"/>
        </w:rPr>
        <w:t xml:space="preserve">Dilution of responsibility for visual content. The fact that images are generated automatically does not absolve the creator, designer, or distributor of responsibility regarding the content, context, </w:t>
      </w:r>
      <w:proofErr w:type="spellStart"/>
      <w:r w:rsidRPr="00884F7A">
        <w:rPr>
          <w:lang w:val="en-GB"/>
        </w:rPr>
        <w:t>labeling</w:t>
      </w:r>
      <w:proofErr w:type="spellEnd"/>
      <w:r w:rsidRPr="00884F7A">
        <w:rPr>
          <w:lang w:val="en-GB"/>
        </w:rPr>
        <w:t>, and potential consequences of using the material.</w:t>
      </w:r>
    </w:p>
    <w:p w14:paraId="769C6E7B" w14:textId="6F16A643" w:rsidR="005601BD" w:rsidRPr="00884F7A" w:rsidRDefault="005601BD" w:rsidP="005601BD">
      <w:pPr>
        <w:pStyle w:val="LEABody"/>
        <w:jc w:val="both"/>
        <w:rPr>
          <w:lang w:val="en-GB"/>
        </w:rPr>
      </w:pPr>
      <w:r w:rsidRPr="00884F7A">
        <w:rPr>
          <w:lang w:val="en-GB"/>
        </w:rPr>
        <w:t>The risks posed by visual disinformation within the educational environment warrant special attention. During the learning process, students are still in the midst of developing their knowledge, professional concepts, and criteria for evaluating information. Lacking sufficient prior experience and verification skills, they may fail to recognize unreliable visual material, instead perceiving it as a credible source of knowledge. This creates a risk of internalizing misconceptions that could subsequently influence professional thinking and decision-making. Consequently, the critical verification of visual information is significant not only for information literacy but also for the quality of the development of future professional competencies.</w:t>
      </w:r>
      <w:r w:rsidR="00884F7A">
        <w:rPr>
          <w:lang w:val="en-GB"/>
        </w:rPr>
        <w:t xml:space="preserve"> </w:t>
      </w:r>
      <w:r w:rsidRPr="00884F7A">
        <w:rPr>
          <w:lang w:val="en-GB"/>
        </w:rPr>
        <w:t>Visual disinformation takes on particular significance in the context of modern information and military threats. Synthetic or manipulatively presented images</w:t>
      </w:r>
      <w:r w:rsidR="00AF4906" w:rsidRPr="00884F7A">
        <w:rPr>
          <w:lang w:val="en-GB"/>
        </w:rPr>
        <w:t xml:space="preserve"> </w:t>
      </w:r>
      <w:r w:rsidR="00AF4906" w:rsidRPr="00884F7A">
        <w:rPr>
          <w:bCs/>
          <w:lang w:val="en-GB"/>
        </w:rPr>
        <w:t xml:space="preserve">– </w:t>
      </w:r>
      <w:r w:rsidRPr="00884F7A">
        <w:rPr>
          <w:lang w:val="en-GB"/>
        </w:rPr>
        <w:t>depicting destruction, dangerous events, military actions, or the state of critical infrastructure</w:t>
      </w:r>
      <w:r w:rsidR="00AF4906" w:rsidRPr="00884F7A">
        <w:rPr>
          <w:lang w:val="en-GB"/>
        </w:rPr>
        <w:t xml:space="preserve"> </w:t>
      </w:r>
      <w:r w:rsidR="00AF4906" w:rsidRPr="00884F7A">
        <w:rPr>
          <w:bCs/>
          <w:lang w:val="en-GB"/>
        </w:rPr>
        <w:t xml:space="preserve">– </w:t>
      </w:r>
      <w:r w:rsidRPr="00884F7A">
        <w:rPr>
          <w:lang w:val="en-GB"/>
        </w:rPr>
        <w:t xml:space="preserve">can be used to influence the perception of threats, manipulate the public, and foster distrust toward official communications. Potential consequences include information disorientation, unwarranted </w:t>
      </w:r>
      <w:proofErr w:type="spellStart"/>
      <w:r w:rsidRPr="00884F7A">
        <w:rPr>
          <w:lang w:val="en-GB"/>
        </w:rPr>
        <w:t>behavioral</w:t>
      </w:r>
      <w:proofErr w:type="spellEnd"/>
      <w:r w:rsidRPr="00884F7A">
        <w:rPr>
          <w:lang w:val="en-GB"/>
        </w:rPr>
        <w:t xml:space="preserve"> responses, and erroneous decision-making in security-related situations.</w:t>
      </w:r>
      <w:r w:rsidR="00884F7A">
        <w:rPr>
          <w:lang w:val="en-GB"/>
        </w:rPr>
        <w:t xml:space="preserve"> </w:t>
      </w:r>
      <w:r w:rsidRPr="00884F7A">
        <w:rPr>
          <w:lang w:val="en-GB"/>
        </w:rPr>
        <w:t>Thus, the risks of visual disinformation are not limited to the unreliability of individual images. Their systemic significance lies in the potential distortion of the informational foundation for situational awareness, training, and decision-making</w:t>
      </w:r>
      <w:r w:rsidR="00AF4906" w:rsidRPr="00884F7A">
        <w:rPr>
          <w:lang w:val="en-GB"/>
        </w:rPr>
        <w:t xml:space="preserve"> </w:t>
      </w:r>
      <w:r w:rsidR="00AF4906" w:rsidRPr="00884F7A">
        <w:rPr>
          <w:bCs/>
          <w:lang w:val="en-GB"/>
        </w:rPr>
        <w:t xml:space="preserve">– </w:t>
      </w:r>
      <w:r w:rsidRPr="00884F7A">
        <w:rPr>
          <w:lang w:val="en-GB"/>
        </w:rPr>
        <w:t>a reality that necessitates the critical verification of digital content.</w:t>
      </w:r>
    </w:p>
    <w:p w14:paraId="4DC6D977" w14:textId="7C6BA089" w:rsidR="008E5304" w:rsidRPr="00884F7A" w:rsidRDefault="008E5304" w:rsidP="005601BD">
      <w:pPr>
        <w:pStyle w:val="LEAHeading"/>
        <w:spacing w:before="0" w:after="0"/>
        <w:jc w:val="center"/>
        <w:rPr>
          <w:lang w:val="en-GB"/>
        </w:rPr>
      </w:pPr>
      <w:r>
        <w:t>The Dual Risk of Misplaced Trust: Safety Implications</w:t>
      </w:r>
    </w:p>
    <w:p w14:paraId="14740384" w14:textId="1793A62A" w:rsidR="000028BB" w:rsidRPr="004E4403" w:rsidRDefault="000028BB" w:rsidP="004E4403">
      <w:pPr>
        <w:pStyle w:val="LEABody"/>
        <w:jc w:val="both"/>
        <w:rPr>
          <w:lang w:val="en-GB"/>
        </w:rPr>
      </w:pPr>
      <w:r w:rsidRPr="004E4403">
        <w:rPr>
          <w:lang w:val="en-GB"/>
        </w:rPr>
        <w:t>Generative AI creates a paradox: on one hand, it enables the creation of increasingly convincing synthetic content; on the other, the very possibility of such fakes can erode trust in genuine visual evidence. Consequently, the issue extends beyond the technical detection of artificial images. Unwarranted trust arises when a synthetic or manipulatively presented image is accepted as proof of an event. For instance, a fabricated photograph showing damage to infrastructure</w:t>
      </w:r>
      <w:r w:rsidR="006B59F3" w:rsidRPr="004E4403">
        <w:rPr>
          <w:lang w:val="en-GB"/>
        </w:rPr>
        <w:t xml:space="preserve"> – </w:t>
      </w:r>
      <w:r w:rsidRPr="004E4403">
        <w:rPr>
          <w:lang w:val="en-GB"/>
        </w:rPr>
        <w:t>if presented without verification</w:t>
      </w:r>
      <w:r w:rsidR="006B59F3" w:rsidRPr="004E4403">
        <w:rPr>
          <w:lang w:val="en-GB"/>
        </w:rPr>
        <w:t xml:space="preserve"> – </w:t>
      </w:r>
      <w:r w:rsidRPr="004E4403">
        <w:rPr>
          <w:lang w:val="en-GB"/>
        </w:rPr>
        <w:t>can create a false impression regarding the scale of a threat and prompt ill-founded actions. Unwarranted distrust operates in the opposite way: authentic evidence is dismissed based on the assumption that it might have been generated by AI. In high-risk situations, this can lead to the disregard of credible information or a delay in response. Thus, both excessive trust and a pervasive suspicion toward any image can prove dangerous.</w:t>
      </w:r>
      <w:r w:rsidR="00FD742E" w:rsidRPr="004E4403">
        <w:rPr>
          <w:lang w:val="en-GB"/>
        </w:rPr>
        <w:t xml:space="preserve"> </w:t>
      </w:r>
      <w:r w:rsidRPr="004E4403">
        <w:rPr>
          <w:lang w:val="en-GB"/>
        </w:rPr>
        <w:t xml:space="preserve">From the perspective of the human factor, the sequence "visual material </w:t>
      </w:r>
      <w:r w:rsidR="006B59F3" w:rsidRPr="004E4403">
        <w:rPr>
          <w:lang w:val="en-GB"/>
        </w:rPr>
        <w:t xml:space="preserve">– </w:t>
      </w:r>
      <w:r w:rsidRPr="004E4403">
        <w:rPr>
          <w:lang w:val="en-GB"/>
        </w:rPr>
        <w:t xml:space="preserve">interpretation </w:t>
      </w:r>
      <w:r w:rsidR="006B59F3" w:rsidRPr="004E4403">
        <w:rPr>
          <w:lang w:val="en-GB"/>
        </w:rPr>
        <w:t>–</w:t>
      </w:r>
      <w:r w:rsidR="00FB6E07" w:rsidRPr="004E4403">
        <w:rPr>
          <w:lang w:val="en-GB"/>
        </w:rPr>
        <w:t xml:space="preserve"> </w:t>
      </w:r>
      <w:r w:rsidRPr="004E4403">
        <w:rPr>
          <w:lang w:val="en-GB"/>
        </w:rPr>
        <w:t xml:space="preserve">situational awareness </w:t>
      </w:r>
      <w:r w:rsidR="006B59F3" w:rsidRPr="004E4403">
        <w:rPr>
          <w:lang w:val="en-GB"/>
        </w:rPr>
        <w:t xml:space="preserve">– </w:t>
      </w:r>
      <w:r w:rsidRPr="004E4403">
        <w:rPr>
          <w:lang w:val="en-GB"/>
        </w:rPr>
        <w:t xml:space="preserve">decision" is crucial. According to M. Endsley’s three-level model of situational awareness [5], the erroneous acceptance or rejection of a visual message can affect the perception of significant environmental elements, the understanding of their meaning, and the forecasting of future events. </w:t>
      </w:r>
      <w:r w:rsidR="009F3807" w:rsidRPr="004E4403">
        <w:rPr>
          <w:lang w:val="en-GB"/>
        </w:rPr>
        <w:t>The significance of the ergonomic characteristics of visual communication for information perception and the occurrence of human error was examined in the authors' previous study [6].</w:t>
      </w:r>
      <w:r w:rsidR="00FD742E" w:rsidRPr="004E4403">
        <w:rPr>
          <w:lang w:val="en-GB"/>
        </w:rPr>
        <w:t xml:space="preserve"> </w:t>
      </w:r>
      <w:r w:rsidRPr="004E4403">
        <w:rPr>
          <w:lang w:val="en-GB"/>
        </w:rPr>
        <w:t xml:space="preserve">This establishes the conceptual mechanism through which visual disinformation may impact the soundness of decisions. </w:t>
      </w:r>
      <w:r w:rsidRPr="004E4403">
        <w:rPr>
          <w:lang w:val="en-GB"/>
        </w:rPr>
        <w:lastRenderedPageBreak/>
        <w:t>Therefore, the goal of critical verification should not be to foster total distrust of digital visual information, but rather to cultivate *justified* trust</w:t>
      </w:r>
      <w:r w:rsidR="006B59F3" w:rsidRPr="004E4403">
        <w:rPr>
          <w:lang w:val="en-GB"/>
        </w:rPr>
        <w:t xml:space="preserve"> – </w:t>
      </w:r>
      <w:r w:rsidRPr="004E4403">
        <w:rPr>
          <w:lang w:val="en-GB"/>
        </w:rPr>
        <w:t>commensurate with the available corroborating evidence and the potential consequences of an error. The more critical a message or decision is to safety, the more important independent verification, contextual clarification, and the explicit indication of uncertainty become.</w:t>
      </w:r>
    </w:p>
    <w:p w14:paraId="0B634146" w14:textId="1DF708CE" w:rsidR="000028BB" w:rsidRPr="00884F7A" w:rsidRDefault="000028BB" w:rsidP="00B12F68">
      <w:pPr>
        <w:pStyle w:val="Heading11"/>
        <w:suppressAutoHyphens w:val="0"/>
        <w:spacing w:line="240" w:lineRule="auto"/>
        <w:ind w:firstLine="0"/>
        <w:rPr>
          <w:lang w:val="en-GB" w:eastAsia="en-US"/>
        </w:rPr>
      </w:pPr>
      <w:r w:rsidRPr="00884F7A">
        <w:rPr>
          <w:lang w:val="en-GB" w:eastAsia="en-US"/>
        </w:rPr>
        <w:t>Risk-based approach to verifying visual information</w:t>
      </w:r>
    </w:p>
    <w:p w14:paraId="589B7E81" w14:textId="77777777" w:rsidR="009F3807" w:rsidRPr="00884F7A" w:rsidRDefault="009F3807" w:rsidP="00FD742E">
      <w:pPr>
        <w:pStyle w:val="LEACaption"/>
        <w:spacing w:before="0" w:after="0"/>
        <w:ind w:firstLine="720"/>
        <w:jc w:val="both"/>
        <w:rPr>
          <w:lang w:val="en-GB"/>
        </w:rPr>
      </w:pPr>
      <w:r w:rsidRPr="00884F7A">
        <w:rPr>
          <w:lang w:val="en-GB"/>
        </w:rPr>
        <w:t>The conceptual foundation of the proposed risk-based approach lies in distinguishing between three interrelated objects of assessment: the origin of visual material, the veracity of the claims associated with it, and the suitability of the information for decision-making. Establishing the authenticity of an image does not guarantee the accuracy of its interpretation, and confirming that an event took place does not always provide a sufficient basis for determining a course of action. Therefore, critical verification must account not only for the informational validity of a message but also for the potential consequences of its use. To implement this approach, seven interrelated criteria have been proposed (Table 1).</w:t>
      </w:r>
    </w:p>
    <w:p w14:paraId="71DEB2D0" w14:textId="17B99020" w:rsidR="00D3049B" w:rsidRPr="00884F7A" w:rsidRDefault="009F3807" w:rsidP="00D3049B">
      <w:pPr>
        <w:pStyle w:val="LEACaption"/>
        <w:spacing w:before="0" w:after="0"/>
        <w:jc w:val="right"/>
        <w:rPr>
          <w:i/>
          <w:iCs/>
          <w:lang w:val="en-GB"/>
        </w:rPr>
      </w:pPr>
      <w:r w:rsidRPr="00884F7A">
        <w:rPr>
          <w:i/>
          <w:iCs/>
          <w:lang w:val="en-GB"/>
        </w:rPr>
        <w:t xml:space="preserve">Table </w:t>
      </w:r>
      <w:r w:rsidR="007A2F26" w:rsidRPr="00884F7A">
        <w:rPr>
          <w:i/>
          <w:iCs/>
          <w:lang w:val="en-GB"/>
        </w:rPr>
        <w:t>1</w:t>
      </w:r>
    </w:p>
    <w:p w14:paraId="60E5DB4C" w14:textId="5CD23C19" w:rsidR="00756E3F" w:rsidRPr="00884F7A" w:rsidRDefault="007A2F26" w:rsidP="00FB6E07">
      <w:pPr>
        <w:pStyle w:val="LEACaption"/>
        <w:spacing w:before="0" w:after="0"/>
        <w:jc w:val="center"/>
        <w:rPr>
          <w:lang w:val="en-GB"/>
        </w:rPr>
      </w:pPr>
      <w:r w:rsidRPr="00884F7A">
        <w:rPr>
          <w:lang w:val="en-GB"/>
        </w:rPr>
        <w:t xml:space="preserve"> </w:t>
      </w:r>
      <w:r w:rsidR="009F3807" w:rsidRPr="00884F7A">
        <w:rPr>
          <w:lang w:val="en-GB"/>
        </w:rPr>
        <w:t>Criteria for the Critical Examination of Digital Visual Content</w:t>
      </w:r>
    </w:p>
    <w:tbl>
      <w:tblPr>
        <w:tblW w:w="963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0" w:type="dxa"/>
          <w:right w:w="10" w:type="dxa"/>
        </w:tblCellMar>
        <w:tblLook w:val="04A0" w:firstRow="1" w:lastRow="0" w:firstColumn="1" w:lastColumn="0" w:noHBand="0" w:noVBand="1"/>
      </w:tblPr>
      <w:tblGrid>
        <w:gridCol w:w="2836"/>
        <w:gridCol w:w="6802"/>
      </w:tblGrid>
      <w:tr w:rsidR="009F3807" w:rsidRPr="00884F7A" w14:paraId="1CC81857" w14:textId="77777777" w:rsidTr="00722A5D">
        <w:trPr>
          <w:cantSplit/>
          <w:tblHeader/>
          <w:jc w:val="center"/>
        </w:trPr>
        <w:tc>
          <w:tcPr>
            <w:tcW w:w="2836" w:type="dxa"/>
            <w:tcMar>
              <w:top w:w="40" w:type="dxa"/>
              <w:left w:w="70" w:type="dxa"/>
              <w:bottom w:w="40" w:type="dxa"/>
              <w:right w:w="70" w:type="dxa"/>
            </w:tcMar>
          </w:tcPr>
          <w:p w14:paraId="6D1AE65F" w14:textId="438632A6" w:rsidR="009F3807" w:rsidRPr="00884F7A" w:rsidRDefault="009F3807" w:rsidP="009F3807">
            <w:pPr>
              <w:pStyle w:val="LEATable"/>
              <w:jc w:val="center"/>
              <w:rPr>
                <w:bCs/>
                <w:lang w:val="en-GB"/>
              </w:rPr>
            </w:pPr>
            <w:r w:rsidRPr="00884F7A">
              <w:rPr>
                <w:lang w:val="en-GB"/>
              </w:rPr>
              <w:t>Criterion</w:t>
            </w:r>
          </w:p>
        </w:tc>
        <w:tc>
          <w:tcPr>
            <w:tcW w:w="6802" w:type="dxa"/>
            <w:tcMar>
              <w:top w:w="40" w:type="dxa"/>
              <w:left w:w="70" w:type="dxa"/>
              <w:bottom w:w="40" w:type="dxa"/>
              <w:right w:w="70" w:type="dxa"/>
            </w:tcMar>
          </w:tcPr>
          <w:p w14:paraId="3C04BCB4" w14:textId="237DDA06" w:rsidR="009F3807" w:rsidRPr="00884F7A" w:rsidRDefault="008E5304" w:rsidP="009F3807">
            <w:pPr>
              <w:pStyle w:val="LEATable"/>
              <w:jc w:val="center"/>
              <w:rPr>
                <w:bCs/>
                <w:lang w:val="en-GB"/>
              </w:rPr>
            </w:pPr>
            <w:r>
              <w:t>Verification</w:t>
            </w:r>
            <w:r>
              <w:rPr>
                <w:lang w:val="uk-UA"/>
              </w:rPr>
              <w:t xml:space="preserve"> </w:t>
            </w:r>
            <w:r w:rsidR="009F3807" w:rsidRPr="00884F7A">
              <w:rPr>
                <w:lang w:val="en-GB"/>
              </w:rPr>
              <w:t>Question</w:t>
            </w:r>
          </w:p>
        </w:tc>
      </w:tr>
      <w:tr w:rsidR="00F53737" w:rsidRPr="00884F7A" w14:paraId="10B01D1A" w14:textId="77777777" w:rsidTr="00C9572B">
        <w:trPr>
          <w:cantSplit/>
          <w:jc w:val="center"/>
        </w:trPr>
        <w:tc>
          <w:tcPr>
            <w:tcW w:w="2836" w:type="dxa"/>
            <w:tcMar>
              <w:top w:w="40" w:type="dxa"/>
              <w:left w:w="70" w:type="dxa"/>
              <w:bottom w:w="40" w:type="dxa"/>
              <w:right w:w="70" w:type="dxa"/>
            </w:tcMar>
            <w:vAlign w:val="center"/>
          </w:tcPr>
          <w:p w14:paraId="435A7801" w14:textId="77777777" w:rsidR="00F53737" w:rsidRPr="00884F7A" w:rsidRDefault="00F53737" w:rsidP="00F53737">
            <w:pPr>
              <w:pStyle w:val="LEATable"/>
              <w:rPr>
                <w:lang w:val="en-GB"/>
              </w:rPr>
            </w:pPr>
            <w:r w:rsidRPr="00884F7A">
              <w:rPr>
                <w:lang w:val="en-GB"/>
              </w:rPr>
              <w:t>1. Source</w:t>
            </w:r>
          </w:p>
        </w:tc>
        <w:tc>
          <w:tcPr>
            <w:tcW w:w="6802" w:type="dxa"/>
            <w:tcMar>
              <w:top w:w="40" w:type="dxa"/>
              <w:left w:w="70" w:type="dxa"/>
              <w:bottom w:w="40" w:type="dxa"/>
              <w:right w:w="70" w:type="dxa"/>
            </w:tcMar>
            <w:vAlign w:val="center"/>
          </w:tcPr>
          <w:p w14:paraId="00BA9343" w14:textId="2E6519ED" w:rsidR="00F53737" w:rsidRPr="00884F7A" w:rsidRDefault="00F53737" w:rsidP="00F53737">
            <w:pPr>
              <w:pStyle w:val="LEATable"/>
              <w:rPr>
                <w:lang w:val="en-GB"/>
              </w:rPr>
            </w:pPr>
            <w:r>
              <w:t>Is the source identifiable and reliable?</w:t>
            </w:r>
          </w:p>
        </w:tc>
      </w:tr>
      <w:tr w:rsidR="00F53737" w:rsidRPr="00884F7A" w14:paraId="18A932E9" w14:textId="77777777" w:rsidTr="00C9572B">
        <w:trPr>
          <w:cantSplit/>
          <w:jc w:val="center"/>
        </w:trPr>
        <w:tc>
          <w:tcPr>
            <w:tcW w:w="2836" w:type="dxa"/>
            <w:tcMar>
              <w:top w:w="40" w:type="dxa"/>
              <w:left w:w="70" w:type="dxa"/>
              <w:bottom w:w="40" w:type="dxa"/>
              <w:right w:w="70" w:type="dxa"/>
            </w:tcMar>
            <w:vAlign w:val="center"/>
          </w:tcPr>
          <w:p w14:paraId="4F5924EB" w14:textId="77777777" w:rsidR="00F53737" w:rsidRPr="00884F7A" w:rsidRDefault="00F53737" w:rsidP="00F53737">
            <w:pPr>
              <w:pStyle w:val="LEATable"/>
              <w:rPr>
                <w:lang w:val="en-GB"/>
              </w:rPr>
            </w:pPr>
            <w:r w:rsidRPr="00884F7A">
              <w:rPr>
                <w:lang w:val="en-GB"/>
              </w:rPr>
              <w:t>2. Provenance</w:t>
            </w:r>
          </w:p>
        </w:tc>
        <w:tc>
          <w:tcPr>
            <w:tcW w:w="6802" w:type="dxa"/>
            <w:tcMar>
              <w:top w:w="40" w:type="dxa"/>
              <w:left w:w="70" w:type="dxa"/>
              <w:bottom w:w="40" w:type="dxa"/>
              <w:right w:w="70" w:type="dxa"/>
            </w:tcMar>
            <w:vAlign w:val="center"/>
          </w:tcPr>
          <w:p w14:paraId="29EA32BD" w14:textId="619430CA" w:rsidR="00F53737" w:rsidRPr="00884F7A" w:rsidRDefault="00F53737" w:rsidP="00F53737">
            <w:pPr>
              <w:pStyle w:val="LEATable"/>
              <w:rPr>
                <w:lang w:val="en-GB"/>
              </w:rPr>
            </w:pPr>
            <w:r>
              <w:t>Are the origin and editing history known?</w:t>
            </w:r>
          </w:p>
        </w:tc>
      </w:tr>
      <w:tr w:rsidR="00F53737" w:rsidRPr="00884F7A" w14:paraId="49F71BC9" w14:textId="77777777" w:rsidTr="00C9572B">
        <w:trPr>
          <w:cantSplit/>
          <w:jc w:val="center"/>
        </w:trPr>
        <w:tc>
          <w:tcPr>
            <w:tcW w:w="2836" w:type="dxa"/>
            <w:tcMar>
              <w:top w:w="40" w:type="dxa"/>
              <w:left w:w="70" w:type="dxa"/>
              <w:bottom w:w="40" w:type="dxa"/>
              <w:right w:w="70" w:type="dxa"/>
            </w:tcMar>
            <w:vAlign w:val="center"/>
          </w:tcPr>
          <w:p w14:paraId="2E12DB9A" w14:textId="77777777" w:rsidR="00F53737" w:rsidRPr="00884F7A" w:rsidRDefault="00F53737" w:rsidP="00F53737">
            <w:pPr>
              <w:pStyle w:val="LEATable"/>
              <w:rPr>
                <w:lang w:val="en-GB"/>
              </w:rPr>
            </w:pPr>
            <w:r w:rsidRPr="00884F7A">
              <w:rPr>
                <w:lang w:val="en-GB"/>
              </w:rPr>
              <w:t>3. Context</w:t>
            </w:r>
          </w:p>
        </w:tc>
        <w:tc>
          <w:tcPr>
            <w:tcW w:w="6802" w:type="dxa"/>
            <w:tcMar>
              <w:top w:w="40" w:type="dxa"/>
              <w:left w:w="70" w:type="dxa"/>
              <w:bottom w:w="40" w:type="dxa"/>
              <w:right w:w="70" w:type="dxa"/>
            </w:tcMar>
            <w:vAlign w:val="center"/>
          </w:tcPr>
          <w:p w14:paraId="247F7D50" w14:textId="36B5BD46" w:rsidR="00F53737" w:rsidRPr="00884F7A" w:rsidRDefault="00F53737" w:rsidP="00F53737">
            <w:pPr>
              <w:pStyle w:val="LEATable"/>
              <w:rPr>
                <w:lang w:val="en-GB"/>
              </w:rPr>
            </w:pPr>
            <w:r>
              <w:t>Do the caption, date, and location match the context?</w:t>
            </w:r>
          </w:p>
        </w:tc>
      </w:tr>
      <w:tr w:rsidR="00F53737" w:rsidRPr="00884F7A" w14:paraId="3BA3F161" w14:textId="77777777" w:rsidTr="00C9572B">
        <w:trPr>
          <w:cantSplit/>
          <w:jc w:val="center"/>
        </w:trPr>
        <w:tc>
          <w:tcPr>
            <w:tcW w:w="2836" w:type="dxa"/>
            <w:tcMar>
              <w:top w:w="40" w:type="dxa"/>
              <w:left w:w="70" w:type="dxa"/>
              <w:bottom w:w="40" w:type="dxa"/>
              <w:right w:w="70" w:type="dxa"/>
            </w:tcMar>
            <w:vAlign w:val="center"/>
          </w:tcPr>
          <w:p w14:paraId="27F1D0ED" w14:textId="77777777" w:rsidR="00F53737" w:rsidRPr="00884F7A" w:rsidRDefault="00F53737" w:rsidP="00F53737">
            <w:pPr>
              <w:pStyle w:val="LEATable"/>
              <w:rPr>
                <w:lang w:val="en-GB"/>
              </w:rPr>
            </w:pPr>
            <w:r w:rsidRPr="00884F7A">
              <w:rPr>
                <w:lang w:val="en-GB"/>
              </w:rPr>
              <w:t>4. Independent evidence</w:t>
            </w:r>
          </w:p>
        </w:tc>
        <w:tc>
          <w:tcPr>
            <w:tcW w:w="6802" w:type="dxa"/>
            <w:tcMar>
              <w:top w:w="40" w:type="dxa"/>
              <w:left w:w="70" w:type="dxa"/>
              <w:bottom w:w="40" w:type="dxa"/>
              <w:right w:w="70" w:type="dxa"/>
            </w:tcMar>
            <w:vAlign w:val="center"/>
          </w:tcPr>
          <w:p w14:paraId="02E8E4F3" w14:textId="0D6B6C1B" w:rsidR="00F53737" w:rsidRPr="00884F7A" w:rsidRDefault="00F53737" w:rsidP="00F53737">
            <w:pPr>
              <w:pStyle w:val="LEATable"/>
              <w:rPr>
                <w:lang w:val="en-GB"/>
              </w:rPr>
            </w:pPr>
            <w:r>
              <w:t>Are the claims independently verified?</w:t>
            </w:r>
          </w:p>
        </w:tc>
      </w:tr>
      <w:tr w:rsidR="00F53737" w:rsidRPr="00884F7A" w14:paraId="5647A3A7" w14:textId="77777777" w:rsidTr="00C9572B">
        <w:trPr>
          <w:cantSplit/>
          <w:jc w:val="center"/>
        </w:trPr>
        <w:tc>
          <w:tcPr>
            <w:tcW w:w="2836" w:type="dxa"/>
            <w:tcMar>
              <w:top w:w="40" w:type="dxa"/>
              <w:left w:w="70" w:type="dxa"/>
              <w:bottom w:w="40" w:type="dxa"/>
              <w:right w:w="70" w:type="dxa"/>
            </w:tcMar>
            <w:vAlign w:val="center"/>
          </w:tcPr>
          <w:p w14:paraId="1B6FEB70" w14:textId="77777777" w:rsidR="00F53737" w:rsidRPr="00884F7A" w:rsidRDefault="00F53737" w:rsidP="00F53737">
            <w:pPr>
              <w:pStyle w:val="LEATable"/>
              <w:rPr>
                <w:lang w:val="en-GB"/>
              </w:rPr>
            </w:pPr>
            <w:r w:rsidRPr="00884F7A">
              <w:rPr>
                <w:lang w:val="en-GB"/>
              </w:rPr>
              <w:t>5. Visual consistency</w:t>
            </w:r>
          </w:p>
        </w:tc>
        <w:tc>
          <w:tcPr>
            <w:tcW w:w="6802" w:type="dxa"/>
            <w:tcMar>
              <w:top w:w="40" w:type="dxa"/>
              <w:left w:w="70" w:type="dxa"/>
              <w:bottom w:w="40" w:type="dxa"/>
              <w:right w:w="70" w:type="dxa"/>
            </w:tcMar>
            <w:vAlign w:val="center"/>
          </w:tcPr>
          <w:p w14:paraId="2FA7DFF6" w14:textId="5758FFAD" w:rsidR="00F53737" w:rsidRPr="00884F7A" w:rsidRDefault="00F53737" w:rsidP="00F53737">
            <w:pPr>
              <w:pStyle w:val="LEATable"/>
              <w:rPr>
                <w:lang w:val="en-GB"/>
              </w:rPr>
            </w:pPr>
            <w:r>
              <w:t>Are there signs of alteration or inconsistencies?</w:t>
            </w:r>
          </w:p>
        </w:tc>
      </w:tr>
      <w:tr w:rsidR="00F53737" w:rsidRPr="00884F7A" w14:paraId="2401F99B" w14:textId="77777777" w:rsidTr="00C9572B">
        <w:trPr>
          <w:cantSplit/>
          <w:jc w:val="center"/>
        </w:trPr>
        <w:tc>
          <w:tcPr>
            <w:tcW w:w="2836" w:type="dxa"/>
            <w:tcMar>
              <w:top w:w="40" w:type="dxa"/>
              <w:left w:w="70" w:type="dxa"/>
              <w:bottom w:w="40" w:type="dxa"/>
              <w:right w:w="70" w:type="dxa"/>
            </w:tcMar>
            <w:vAlign w:val="center"/>
          </w:tcPr>
          <w:p w14:paraId="155E1BDB" w14:textId="77777777" w:rsidR="00F53737" w:rsidRPr="00884F7A" w:rsidRDefault="00F53737" w:rsidP="00F53737">
            <w:pPr>
              <w:pStyle w:val="LEATable"/>
              <w:rPr>
                <w:lang w:val="en-GB"/>
              </w:rPr>
            </w:pPr>
            <w:r w:rsidRPr="00884F7A">
              <w:rPr>
                <w:lang w:val="en-GB"/>
              </w:rPr>
              <w:t>6. Manipulation risk</w:t>
            </w:r>
          </w:p>
        </w:tc>
        <w:tc>
          <w:tcPr>
            <w:tcW w:w="6802" w:type="dxa"/>
            <w:tcMar>
              <w:top w:w="40" w:type="dxa"/>
              <w:left w:w="70" w:type="dxa"/>
              <w:bottom w:w="40" w:type="dxa"/>
              <w:right w:w="70" w:type="dxa"/>
            </w:tcMar>
            <w:vAlign w:val="center"/>
          </w:tcPr>
          <w:p w14:paraId="565F6065" w14:textId="43E6D50F" w:rsidR="00F53737" w:rsidRPr="00884F7A" w:rsidRDefault="00F53737" w:rsidP="00F53737">
            <w:pPr>
              <w:pStyle w:val="LEATable"/>
              <w:rPr>
                <w:lang w:val="en-GB"/>
              </w:rPr>
            </w:pPr>
            <w:r>
              <w:t>Could the content be misleading?</w:t>
            </w:r>
          </w:p>
        </w:tc>
      </w:tr>
      <w:tr w:rsidR="00F53737" w:rsidRPr="00884F7A" w14:paraId="22425902" w14:textId="77777777" w:rsidTr="00C9572B">
        <w:trPr>
          <w:cantSplit/>
          <w:jc w:val="center"/>
        </w:trPr>
        <w:tc>
          <w:tcPr>
            <w:tcW w:w="2836" w:type="dxa"/>
            <w:tcMar>
              <w:top w:w="40" w:type="dxa"/>
              <w:left w:w="70" w:type="dxa"/>
              <w:bottom w:w="40" w:type="dxa"/>
              <w:right w:w="70" w:type="dxa"/>
            </w:tcMar>
            <w:vAlign w:val="center"/>
          </w:tcPr>
          <w:p w14:paraId="7AD16CE5" w14:textId="77777777" w:rsidR="00F53737" w:rsidRPr="00884F7A" w:rsidRDefault="00F53737" w:rsidP="00F53737">
            <w:pPr>
              <w:pStyle w:val="LEATable"/>
              <w:rPr>
                <w:lang w:val="en-GB"/>
              </w:rPr>
            </w:pPr>
            <w:r w:rsidRPr="00884F7A">
              <w:rPr>
                <w:lang w:val="en-GB"/>
              </w:rPr>
              <w:t>7. Responsible publication</w:t>
            </w:r>
          </w:p>
        </w:tc>
        <w:tc>
          <w:tcPr>
            <w:tcW w:w="6802" w:type="dxa"/>
            <w:tcMar>
              <w:top w:w="40" w:type="dxa"/>
              <w:left w:w="70" w:type="dxa"/>
              <w:bottom w:w="40" w:type="dxa"/>
              <w:right w:w="70" w:type="dxa"/>
            </w:tcMar>
            <w:vAlign w:val="center"/>
          </w:tcPr>
          <w:p w14:paraId="4F4B993B" w14:textId="520D8E78" w:rsidR="00F53737" w:rsidRPr="00884F7A" w:rsidRDefault="00F53737" w:rsidP="00F53737">
            <w:pPr>
              <w:pStyle w:val="LEATable"/>
              <w:rPr>
                <w:lang w:val="en-GB"/>
              </w:rPr>
            </w:pPr>
            <w:r>
              <w:t>Are labeling and dissemination appropriate?</w:t>
            </w:r>
          </w:p>
        </w:tc>
      </w:tr>
    </w:tbl>
    <w:p w14:paraId="07D4D548" w14:textId="77777777" w:rsidR="009F3807" w:rsidRPr="00884F7A" w:rsidRDefault="009F3807" w:rsidP="00FB6E07">
      <w:pPr>
        <w:suppressAutoHyphens w:val="0"/>
        <w:spacing w:before="120" w:line="240" w:lineRule="auto"/>
        <w:ind w:firstLine="720"/>
        <w:jc w:val="both"/>
        <w:rPr>
          <w:rFonts w:eastAsia="Noto Serif CJK SC" w:cs="Lohit Devanagari"/>
          <w:lang w:val="en-GB" w:bidi="hi-IN"/>
        </w:rPr>
      </w:pPr>
      <w:r w:rsidRPr="00884F7A">
        <w:rPr>
          <w:rFonts w:eastAsia="Noto Serif CJK SC" w:cs="Lohit Devanagari"/>
          <w:lang w:val="en-GB" w:bidi="hi-IN"/>
        </w:rPr>
        <w:t>Practical application of the approach involves selecting a well-founded decision based on the verification results and potential risks (Table 2).</w:t>
      </w:r>
    </w:p>
    <w:p w14:paraId="2B10DB3D" w14:textId="43EEF840" w:rsidR="00D3049B" w:rsidRPr="00884F7A" w:rsidRDefault="009F3807" w:rsidP="00D3049B">
      <w:pPr>
        <w:suppressAutoHyphens w:val="0"/>
        <w:spacing w:line="240" w:lineRule="auto"/>
        <w:ind w:firstLine="0"/>
        <w:jc w:val="right"/>
        <w:rPr>
          <w:i/>
          <w:iCs/>
          <w:lang w:val="en-GB"/>
        </w:rPr>
      </w:pPr>
      <w:r w:rsidRPr="00884F7A">
        <w:rPr>
          <w:rFonts w:eastAsia="Noto Serif CJK SC" w:cs="Lohit Devanagari"/>
          <w:i/>
          <w:iCs/>
          <w:lang w:val="en-GB" w:bidi="hi-IN"/>
        </w:rPr>
        <w:t>Table</w:t>
      </w:r>
      <w:r w:rsidRPr="00884F7A">
        <w:rPr>
          <w:rFonts w:eastAsia="Noto Serif CJK SC" w:cs="Lohit Devanagari"/>
          <w:lang w:val="en-GB" w:bidi="hi-IN"/>
        </w:rPr>
        <w:t xml:space="preserve"> </w:t>
      </w:r>
      <w:r w:rsidR="00DD1415" w:rsidRPr="00884F7A">
        <w:rPr>
          <w:i/>
          <w:iCs/>
          <w:lang w:val="en-GB"/>
        </w:rPr>
        <w:t>2</w:t>
      </w:r>
    </w:p>
    <w:p w14:paraId="4B84A3DC" w14:textId="55088EED" w:rsidR="00DD1415" w:rsidRPr="00884F7A" w:rsidRDefault="009F3807" w:rsidP="00FB6E07">
      <w:pPr>
        <w:pStyle w:val="LEACaption"/>
        <w:spacing w:before="0" w:after="0"/>
        <w:jc w:val="center"/>
        <w:rPr>
          <w:lang w:val="en-GB"/>
        </w:rPr>
      </w:pPr>
      <w:r w:rsidRPr="00884F7A">
        <w:rPr>
          <w:lang w:val="en-GB"/>
        </w:rPr>
        <w:t>Illustrative situations and decisions based on the results of visual content review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410"/>
        <w:gridCol w:w="3651"/>
      </w:tblGrid>
      <w:tr w:rsidR="009F3807" w:rsidRPr="00884F7A" w14:paraId="3CB94AA4" w14:textId="77777777" w:rsidTr="00F53737">
        <w:tc>
          <w:tcPr>
            <w:tcW w:w="3510" w:type="dxa"/>
            <w:shd w:val="clear" w:color="auto" w:fill="auto"/>
          </w:tcPr>
          <w:p w14:paraId="4BD138A3" w14:textId="163DF559" w:rsidR="009F3807" w:rsidRPr="00884F7A" w:rsidRDefault="009F3807" w:rsidP="009F3807">
            <w:pPr>
              <w:pStyle w:val="LEABody"/>
              <w:ind w:firstLine="0"/>
              <w:jc w:val="center"/>
              <w:rPr>
                <w:lang w:val="en-GB"/>
              </w:rPr>
            </w:pPr>
            <w:r w:rsidRPr="00884F7A">
              <w:rPr>
                <w:lang w:val="en-GB"/>
              </w:rPr>
              <w:t>Information Context</w:t>
            </w:r>
          </w:p>
        </w:tc>
        <w:tc>
          <w:tcPr>
            <w:tcW w:w="2410" w:type="dxa"/>
            <w:shd w:val="clear" w:color="auto" w:fill="auto"/>
          </w:tcPr>
          <w:p w14:paraId="3476ACEB" w14:textId="333B71AB" w:rsidR="009F3807" w:rsidRPr="00884F7A" w:rsidRDefault="009F3807" w:rsidP="009F3807">
            <w:pPr>
              <w:pStyle w:val="LEABody"/>
              <w:ind w:firstLine="0"/>
              <w:jc w:val="center"/>
              <w:rPr>
                <w:lang w:val="en-GB"/>
              </w:rPr>
            </w:pPr>
            <w:r w:rsidRPr="00884F7A">
              <w:rPr>
                <w:lang w:val="en-GB"/>
              </w:rPr>
              <w:t>Identified risk</w:t>
            </w:r>
          </w:p>
        </w:tc>
        <w:tc>
          <w:tcPr>
            <w:tcW w:w="3651" w:type="dxa"/>
            <w:shd w:val="clear" w:color="auto" w:fill="auto"/>
          </w:tcPr>
          <w:p w14:paraId="47D475D5" w14:textId="0E6D4BA0" w:rsidR="009F3807" w:rsidRPr="00884F7A" w:rsidRDefault="008E5304" w:rsidP="009F3807">
            <w:pPr>
              <w:pStyle w:val="LEABody"/>
              <w:ind w:firstLine="0"/>
              <w:jc w:val="center"/>
              <w:rPr>
                <w:lang w:val="en-GB"/>
              </w:rPr>
            </w:pPr>
            <w:r>
              <w:t>Recommended Action</w:t>
            </w:r>
          </w:p>
        </w:tc>
      </w:tr>
      <w:tr w:rsidR="00F53737" w:rsidRPr="00884F7A" w14:paraId="68E8CD2F" w14:textId="77777777" w:rsidTr="00F53737">
        <w:tc>
          <w:tcPr>
            <w:tcW w:w="3510" w:type="dxa"/>
            <w:shd w:val="clear" w:color="auto" w:fill="auto"/>
            <w:vAlign w:val="center"/>
          </w:tcPr>
          <w:p w14:paraId="2B713C63" w14:textId="3E3D77D2" w:rsidR="00F53737" w:rsidRPr="00884F7A" w:rsidRDefault="00F53737" w:rsidP="00F53737">
            <w:pPr>
              <w:pStyle w:val="LEABody"/>
              <w:spacing w:line="240" w:lineRule="auto"/>
              <w:ind w:firstLine="0"/>
              <w:rPr>
                <w:lang w:val="en-GB"/>
              </w:rPr>
            </w:pPr>
            <w:r>
              <w:t>Authentic image, false caption</w:t>
            </w:r>
          </w:p>
        </w:tc>
        <w:tc>
          <w:tcPr>
            <w:tcW w:w="2410" w:type="dxa"/>
            <w:shd w:val="clear" w:color="auto" w:fill="auto"/>
            <w:vAlign w:val="center"/>
          </w:tcPr>
          <w:p w14:paraId="32266E65" w14:textId="17F06B98" w:rsidR="00F53737" w:rsidRPr="00884F7A" w:rsidRDefault="00F53737" w:rsidP="00F53737">
            <w:pPr>
              <w:pStyle w:val="LEABody"/>
              <w:spacing w:line="240" w:lineRule="auto"/>
              <w:ind w:firstLine="0"/>
              <w:jc w:val="both"/>
              <w:rPr>
                <w:lang w:val="en-GB"/>
              </w:rPr>
            </w:pPr>
            <w:r>
              <w:t>Context distortion</w:t>
            </w:r>
          </w:p>
        </w:tc>
        <w:tc>
          <w:tcPr>
            <w:tcW w:w="3651" w:type="dxa"/>
            <w:shd w:val="clear" w:color="auto" w:fill="auto"/>
            <w:vAlign w:val="center"/>
          </w:tcPr>
          <w:p w14:paraId="0765D6A9" w14:textId="59D02002" w:rsidR="00F53737" w:rsidRPr="00884F7A" w:rsidRDefault="00F53737" w:rsidP="00F53737">
            <w:pPr>
              <w:pStyle w:val="LEABody"/>
              <w:spacing w:line="240" w:lineRule="auto"/>
              <w:ind w:firstLine="0"/>
              <w:jc w:val="both"/>
              <w:rPr>
                <w:lang w:val="en-GB"/>
              </w:rPr>
            </w:pPr>
            <w:r>
              <w:t>Do not use as evidence</w:t>
            </w:r>
          </w:p>
        </w:tc>
      </w:tr>
      <w:tr w:rsidR="00F53737" w:rsidRPr="00884F7A" w14:paraId="40B023B7" w14:textId="77777777" w:rsidTr="00F53737">
        <w:tc>
          <w:tcPr>
            <w:tcW w:w="3510" w:type="dxa"/>
            <w:shd w:val="clear" w:color="auto" w:fill="auto"/>
            <w:vAlign w:val="center"/>
          </w:tcPr>
          <w:p w14:paraId="46148254" w14:textId="718D5834" w:rsidR="00F53737" w:rsidRPr="00884F7A" w:rsidRDefault="00F53737" w:rsidP="00F53737">
            <w:pPr>
              <w:pStyle w:val="LEABody"/>
              <w:spacing w:line="240" w:lineRule="auto"/>
              <w:ind w:firstLine="0"/>
              <w:rPr>
                <w:lang w:val="en-GB"/>
              </w:rPr>
            </w:pPr>
            <w:r>
              <w:t>AI image labeled as illustration</w:t>
            </w:r>
          </w:p>
        </w:tc>
        <w:tc>
          <w:tcPr>
            <w:tcW w:w="2410" w:type="dxa"/>
            <w:shd w:val="clear" w:color="auto" w:fill="auto"/>
            <w:vAlign w:val="center"/>
          </w:tcPr>
          <w:p w14:paraId="1BD8ACD4" w14:textId="2F901A0A" w:rsidR="00F53737" w:rsidRPr="00884F7A" w:rsidRDefault="00F53737" w:rsidP="00F53737">
            <w:pPr>
              <w:pStyle w:val="LEABody"/>
              <w:spacing w:line="240" w:lineRule="auto"/>
              <w:ind w:firstLine="0"/>
              <w:jc w:val="both"/>
              <w:rPr>
                <w:lang w:val="en-GB"/>
              </w:rPr>
            </w:pPr>
            <w:r>
              <w:t>Confusion with real evidence</w:t>
            </w:r>
          </w:p>
        </w:tc>
        <w:tc>
          <w:tcPr>
            <w:tcW w:w="3651" w:type="dxa"/>
            <w:shd w:val="clear" w:color="auto" w:fill="auto"/>
            <w:vAlign w:val="center"/>
          </w:tcPr>
          <w:p w14:paraId="626B1276" w14:textId="2F77AE6F" w:rsidR="00F53737" w:rsidRPr="00884F7A" w:rsidRDefault="00F53737" w:rsidP="00F53737">
            <w:pPr>
              <w:pStyle w:val="LEABody"/>
              <w:spacing w:line="240" w:lineRule="auto"/>
              <w:ind w:firstLine="0"/>
              <w:jc w:val="both"/>
              <w:rPr>
                <w:lang w:val="en-GB"/>
              </w:rPr>
            </w:pPr>
            <w:r>
              <w:t>Use with clear labeling</w:t>
            </w:r>
          </w:p>
        </w:tc>
      </w:tr>
      <w:tr w:rsidR="00F53737" w:rsidRPr="00884F7A" w14:paraId="5159603B" w14:textId="77777777" w:rsidTr="00F53737">
        <w:tc>
          <w:tcPr>
            <w:tcW w:w="3510" w:type="dxa"/>
            <w:shd w:val="clear" w:color="auto" w:fill="auto"/>
            <w:vAlign w:val="center"/>
          </w:tcPr>
          <w:p w14:paraId="4056FE12" w14:textId="481A615E" w:rsidR="00F53737" w:rsidRPr="00884F7A" w:rsidRDefault="00F53737" w:rsidP="00F53737">
            <w:pPr>
              <w:pStyle w:val="LEABody"/>
              <w:spacing w:line="240" w:lineRule="auto"/>
              <w:ind w:firstLine="0"/>
              <w:rPr>
                <w:lang w:val="en-GB"/>
              </w:rPr>
            </w:pPr>
            <w:r>
              <w:t>Incident image, unknown source</w:t>
            </w:r>
          </w:p>
        </w:tc>
        <w:tc>
          <w:tcPr>
            <w:tcW w:w="2410" w:type="dxa"/>
            <w:shd w:val="clear" w:color="auto" w:fill="auto"/>
            <w:vAlign w:val="center"/>
          </w:tcPr>
          <w:p w14:paraId="645DC32A" w14:textId="6AE7FF23" w:rsidR="00F53737" w:rsidRPr="00884F7A" w:rsidRDefault="00F53737" w:rsidP="00F53737">
            <w:pPr>
              <w:pStyle w:val="LEABody"/>
              <w:spacing w:line="240" w:lineRule="auto"/>
              <w:ind w:firstLine="0"/>
              <w:jc w:val="both"/>
              <w:rPr>
                <w:lang w:val="en-GB"/>
              </w:rPr>
            </w:pPr>
            <w:r>
              <w:t>Unverified information</w:t>
            </w:r>
          </w:p>
        </w:tc>
        <w:tc>
          <w:tcPr>
            <w:tcW w:w="3651" w:type="dxa"/>
            <w:shd w:val="clear" w:color="auto" w:fill="auto"/>
            <w:vAlign w:val="center"/>
          </w:tcPr>
          <w:p w14:paraId="7C151F29" w14:textId="1C9FFB04" w:rsidR="00F53737" w:rsidRPr="00884F7A" w:rsidRDefault="00F53737" w:rsidP="00F53737">
            <w:pPr>
              <w:pStyle w:val="LEABody"/>
              <w:spacing w:line="240" w:lineRule="auto"/>
              <w:ind w:firstLine="0"/>
              <w:jc w:val="both"/>
              <w:rPr>
                <w:lang w:val="en-GB"/>
              </w:rPr>
            </w:pPr>
            <w:r>
              <w:t>Verify before reporting as fact</w:t>
            </w:r>
          </w:p>
        </w:tc>
      </w:tr>
      <w:tr w:rsidR="00F53737" w:rsidRPr="00884F7A" w14:paraId="397A6483" w14:textId="77777777" w:rsidTr="00F53737">
        <w:tc>
          <w:tcPr>
            <w:tcW w:w="3510" w:type="dxa"/>
            <w:shd w:val="clear" w:color="auto" w:fill="auto"/>
            <w:vAlign w:val="center"/>
          </w:tcPr>
          <w:p w14:paraId="6CCD867B" w14:textId="46EFA053" w:rsidR="00F53737" w:rsidRPr="00884F7A" w:rsidRDefault="00F53737" w:rsidP="00F53737">
            <w:pPr>
              <w:pStyle w:val="LEABody"/>
              <w:spacing w:line="240" w:lineRule="auto"/>
              <w:ind w:firstLine="0"/>
              <w:rPr>
                <w:lang w:val="en-GB"/>
              </w:rPr>
            </w:pPr>
            <w:r>
              <w:t>Authentic image labeled as fake</w:t>
            </w:r>
          </w:p>
        </w:tc>
        <w:tc>
          <w:tcPr>
            <w:tcW w:w="2410" w:type="dxa"/>
            <w:shd w:val="clear" w:color="auto" w:fill="auto"/>
            <w:vAlign w:val="center"/>
          </w:tcPr>
          <w:p w14:paraId="23AD0EBA" w14:textId="31F84A5E" w:rsidR="00F53737" w:rsidRPr="00884F7A" w:rsidRDefault="00F53737" w:rsidP="00F53737">
            <w:pPr>
              <w:pStyle w:val="LEABody"/>
              <w:spacing w:line="240" w:lineRule="auto"/>
              <w:ind w:firstLine="0"/>
              <w:jc w:val="both"/>
              <w:rPr>
                <w:lang w:val="en-GB"/>
              </w:rPr>
            </w:pPr>
            <w:r>
              <w:t>Unjustified distrust</w:t>
            </w:r>
          </w:p>
        </w:tc>
        <w:tc>
          <w:tcPr>
            <w:tcW w:w="3651" w:type="dxa"/>
            <w:shd w:val="clear" w:color="auto" w:fill="auto"/>
            <w:vAlign w:val="center"/>
          </w:tcPr>
          <w:p w14:paraId="411ABABB" w14:textId="2FB9DA3F" w:rsidR="00F53737" w:rsidRPr="00884F7A" w:rsidRDefault="00F53737" w:rsidP="00F53737">
            <w:pPr>
              <w:pStyle w:val="LEABody"/>
              <w:spacing w:line="240" w:lineRule="auto"/>
              <w:ind w:firstLine="0"/>
              <w:jc w:val="both"/>
              <w:rPr>
                <w:lang w:val="en-GB"/>
              </w:rPr>
            </w:pPr>
            <w:r>
              <w:t>Cross-check and reassess</w:t>
            </w:r>
          </w:p>
        </w:tc>
      </w:tr>
    </w:tbl>
    <w:p w14:paraId="4114667B" w14:textId="77777777" w:rsidR="009F3807" w:rsidRPr="00884F7A" w:rsidRDefault="009F3807" w:rsidP="009F3807">
      <w:pPr>
        <w:pStyle w:val="LEABody"/>
        <w:spacing w:before="120"/>
        <w:jc w:val="both"/>
        <w:rPr>
          <w:lang w:val="en-GB"/>
        </w:rPr>
      </w:pPr>
      <w:r w:rsidRPr="00884F7A">
        <w:rPr>
          <w:lang w:val="en-GB"/>
        </w:rPr>
        <w:t>The examples provided demonstrate that decisions regarding the use of visual information are determined not only by its origin but also by the credibility of the associated claims and the potential consequences of misinterpretation. An unverified origin does not constitute proof of fabrication; however, it necessitates accounting for informational uncertainty. The greater the potential consequences of an error, the more robust the grounds for trusting the visual information must be. Thus, the seven-criterion approach is aimed at fostering well-founded trust and preventing the risks associated with using unreliable or misinterpreted information.</w:t>
      </w:r>
    </w:p>
    <w:p w14:paraId="0D3ED3BF" w14:textId="77777777" w:rsidR="009F3807" w:rsidRPr="00884F7A" w:rsidRDefault="009F3807" w:rsidP="009F3807">
      <w:pPr>
        <w:pStyle w:val="LEABody"/>
        <w:jc w:val="both"/>
        <w:rPr>
          <w:lang w:val="en-GB"/>
        </w:rPr>
      </w:pPr>
      <w:r w:rsidRPr="00884F7A">
        <w:rPr>
          <w:b/>
          <w:bCs/>
          <w:lang w:val="en-GB"/>
        </w:rPr>
        <w:t>Discussion and Limitations of the Approach.</w:t>
      </w:r>
      <w:r w:rsidRPr="00884F7A">
        <w:rPr>
          <w:lang w:val="en-GB"/>
        </w:rPr>
        <w:t xml:space="preserve"> A fundamental tenet of the proposed approach is the distinction between three objects of assessment: the technical origin of an image, </w:t>
      </w:r>
      <w:r w:rsidRPr="00884F7A">
        <w:rPr>
          <w:lang w:val="en-GB"/>
        </w:rPr>
        <w:lastRenderedPageBreak/>
        <w:t xml:space="preserve">the veracity of the claims associated with it, and the suitability of the information for decision-making. Even an authentic image may be accompanied by an unreliable account; furthermore, confirming that an event occurred does not always provide sufficient information to assess its consequences or determine the appropriate course of action. The level of risk and the potential cost of an error are the decisive factors in applying these criteria. While proper </w:t>
      </w:r>
      <w:proofErr w:type="spellStart"/>
      <w:r w:rsidRPr="00884F7A">
        <w:rPr>
          <w:lang w:val="en-GB"/>
        </w:rPr>
        <w:t>labeling</w:t>
      </w:r>
      <w:proofErr w:type="spellEnd"/>
      <w:r w:rsidRPr="00884F7A">
        <w:rPr>
          <w:lang w:val="en-GB"/>
        </w:rPr>
        <w:t xml:space="preserve"> may suffice when using an image as an illustration, information that influences decisions regarding human safety requires timely and reliable verification. It should be noted that an unverified origin does not constitute proof of fabrication, and informational uncertainty must be factored into risk assessments. The proposed approach is conceptual and analytical in nature; it is not a substitute for specialized fact-checking, technical forensic analysis, or official communications.</w:t>
      </w:r>
    </w:p>
    <w:p w14:paraId="59EC7869" w14:textId="2E3047CA" w:rsidR="00756E3F" w:rsidRPr="00884F7A" w:rsidRDefault="008C19E3" w:rsidP="00B12F68">
      <w:pPr>
        <w:pStyle w:val="Heading11"/>
        <w:suppressAutoHyphens w:val="0"/>
        <w:spacing w:line="240" w:lineRule="auto"/>
        <w:ind w:firstLine="0"/>
        <w:rPr>
          <w:lang w:val="en-GB" w:eastAsia="en-US"/>
        </w:rPr>
      </w:pPr>
      <w:r w:rsidRPr="00884F7A">
        <w:rPr>
          <w:lang w:val="en-GB"/>
        </w:rPr>
        <w:t>Conclusion</w:t>
      </w:r>
    </w:p>
    <w:p w14:paraId="5855A140" w14:textId="7ED560C2" w:rsidR="009F3807" w:rsidRPr="00884F7A" w:rsidRDefault="009F3807" w:rsidP="009F3807">
      <w:pPr>
        <w:pStyle w:val="LEABody"/>
        <w:jc w:val="both"/>
        <w:rPr>
          <w:lang w:val="en-GB"/>
        </w:rPr>
      </w:pPr>
      <w:r w:rsidRPr="00884F7A">
        <w:rPr>
          <w:lang w:val="en-GB"/>
        </w:rPr>
        <w:t xml:space="preserve">Visual disinformation poses risks of distorting perception, situational awareness, and decision-making. </w:t>
      </w:r>
      <w:r w:rsidR="008E5304">
        <w:t>The dual nature of the trust problem is conceptualized in relation to safety-critical decision-making</w:t>
      </w:r>
      <w:r w:rsidRPr="00884F7A">
        <w:rPr>
          <w:lang w:val="en-GB"/>
        </w:rPr>
        <w:t>: the acceptance of unreliable images as genuine, versus the unjustified rejection of authentic evidence. These risks are particularly significant within educational environments and in the context of contemporary information and security threats. Five categories of risks are systematized, and a risk-based approach</w:t>
      </w:r>
      <w:r w:rsidR="00722A5D">
        <w:rPr>
          <w:lang w:val="en-GB"/>
        </w:rPr>
        <w:t xml:space="preserve"> – </w:t>
      </w:r>
      <w:r w:rsidRPr="00884F7A">
        <w:rPr>
          <w:lang w:val="en-GB"/>
        </w:rPr>
        <w:t>grounded in seven criteria for critical verification – is proposed. Its conceptual framework distinguishes between an image's origin, the reliability of the associated information, and its suitability for decision-making. A key outcome is the shift from merely verifying visual content to making responsible decisions regarding its use, while accounting for information uncertainty and the potential cost of error. Future research should focus on empirically testing the effectiveness of the proposed approach.</w:t>
      </w:r>
    </w:p>
    <w:p w14:paraId="5ABE655A" w14:textId="0DB0F28C" w:rsidR="008C19E3" w:rsidRPr="00884F7A" w:rsidRDefault="008C19E3" w:rsidP="006B59F3">
      <w:pPr>
        <w:pStyle w:val="Heading11"/>
        <w:ind w:firstLine="0"/>
        <w:rPr>
          <w:lang w:val="en-GB"/>
        </w:rPr>
      </w:pPr>
      <w:r w:rsidRPr="00884F7A">
        <w:rPr>
          <w:lang w:val="en-GB"/>
        </w:rPr>
        <w:t>References</w:t>
      </w:r>
    </w:p>
    <w:p w14:paraId="4FADB3BC" w14:textId="77777777" w:rsidR="00756E3F" w:rsidRPr="00884F7A" w:rsidRDefault="007A2F26" w:rsidP="006B59F3">
      <w:pPr>
        <w:pStyle w:val="LEARef"/>
        <w:jc w:val="both"/>
        <w:rPr>
          <w:lang w:val="en-GB"/>
        </w:rPr>
      </w:pPr>
      <w:r w:rsidRPr="00884F7A">
        <w:rPr>
          <w:lang w:val="en-GB"/>
        </w:rPr>
        <w:t xml:space="preserve">[1] Farooq, A., &amp; de </w:t>
      </w:r>
      <w:proofErr w:type="spellStart"/>
      <w:r w:rsidRPr="00884F7A">
        <w:rPr>
          <w:lang w:val="en-GB"/>
        </w:rPr>
        <w:t>Vreese</w:t>
      </w:r>
      <w:proofErr w:type="spellEnd"/>
      <w:r w:rsidRPr="00884F7A">
        <w:rPr>
          <w:lang w:val="en-GB"/>
        </w:rPr>
        <w:t>, C. (2026). Deciphering authenticity in the age of AI: How AI-generated disinformation images and AI detection tools influence judgements of authenticity. AI &amp; Society, 41, 493–504. https://doi.org/10.1007/s00146-025-02416-5</w:t>
      </w:r>
    </w:p>
    <w:p w14:paraId="55D50857" w14:textId="77777777" w:rsidR="00756E3F" w:rsidRPr="00884F7A" w:rsidRDefault="007A2F26" w:rsidP="006B59F3">
      <w:pPr>
        <w:pStyle w:val="LEARef"/>
        <w:jc w:val="both"/>
        <w:rPr>
          <w:lang w:val="en-GB"/>
        </w:rPr>
      </w:pPr>
      <w:r w:rsidRPr="00884F7A">
        <w:rPr>
          <w:lang w:val="en-GB"/>
        </w:rPr>
        <w:t xml:space="preserve">[2] </w:t>
      </w:r>
      <w:proofErr w:type="spellStart"/>
      <w:r w:rsidRPr="00884F7A">
        <w:rPr>
          <w:lang w:val="en-GB"/>
        </w:rPr>
        <w:t>Velásquez</w:t>
      </w:r>
      <w:proofErr w:type="spellEnd"/>
      <w:r w:rsidRPr="00884F7A">
        <w:rPr>
          <w:lang w:val="en-GB"/>
        </w:rPr>
        <w:t>-Salamanca, D., Martín-Pascual, M. Á., &amp; Andreu-Sánchez, C. (2025). Interpretation of AI-generated vs. human-made images. Journal of Imaging, 11(7), 227. https://doi.org/10.3390/jimaging11070227</w:t>
      </w:r>
    </w:p>
    <w:p w14:paraId="68ADD1A9" w14:textId="77777777" w:rsidR="00756E3F" w:rsidRPr="00884F7A" w:rsidRDefault="007A2F26" w:rsidP="006B59F3">
      <w:pPr>
        <w:pStyle w:val="LEARef"/>
        <w:jc w:val="both"/>
        <w:rPr>
          <w:lang w:val="en-GB"/>
        </w:rPr>
      </w:pPr>
      <w:r w:rsidRPr="00884F7A">
        <w:rPr>
          <w:lang w:val="en-GB"/>
        </w:rPr>
        <w:t xml:space="preserve">[3] Wittenberg, C., Epstein, Z., </w:t>
      </w:r>
      <w:proofErr w:type="spellStart"/>
      <w:r w:rsidRPr="00884F7A">
        <w:rPr>
          <w:lang w:val="en-GB"/>
        </w:rPr>
        <w:t>Péloquin</w:t>
      </w:r>
      <w:proofErr w:type="spellEnd"/>
      <w:r w:rsidRPr="00884F7A">
        <w:rPr>
          <w:lang w:val="en-GB"/>
        </w:rPr>
        <w:t xml:space="preserve">-Skulski, G., </w:t>
      </w:r>
      <w:proofErr w:type="spellStart"/>
      <w:r w:rsidRPr="00884F7A">
        <w:rPr>
          <w:lang w:val="en-GB"/>
        </w:rPr>
        <w:t>Berinsky</w:t>
      </w:r>
      <w:proofErr w:type="spellEnd"/>
      <w:r w:rsidRPr="00884F7A">
        <w:rPr>
          <w:lang w:val="en-GB"/>
        </w:rPr>
        <w:t xml:space="preserve">, A. J., &amp; Rand, D. G. (2025). </w:t>
      </w:r>
      <w:proofErr w:type="spellStart"/>
      <w:r w:rsidRPr="00884F7A">
        <w:rPr>
          <w:lang w:val="en-GB"/>
        </w:rPr>
        <w:t>Labeling</w:t>
      </w:r>
      <w:proofErr w:type="spellEnd"/>
      <w:r w:rsidRPr="00884F7A">
        <w:rPr>
          <w:lang w:val="en-GB"/>
        </w:rPr>
        <w:t xml:space="preserve"> AI-generated media online. PNAS Nexus, 4(6), pgaf170. https://doi.org/10.1093/pnasnexus/pgaf170</w:t>
      </w:r>
    </w:p>
    <w:p w14:paraId="6F513B59" w14:textId="3FF0507C" w:rsidR="00756E3F" w:rsidRPr="00884F7A" w:rsidRDefault="007A2F26" w:rsidP="006B59F3">
      <w:pPr>
        <w:pStyle w:val="LEARef"/>
        <w:jc w:val="both"/>
        <w:rPr>
          <w:lang w:val="en-GB"/>
        </w:rPr>
      </w:pPr>
      <w:r w:rsidRPr="00884F7A">
        <w:rPr>
          <w:lang w:val="en-GB"/>
        </w:rPr>
        <w:t xml:space="preserve">[4] Chandra, B., </w:t>
      </w:r>
      <w:proofErr w:type="spellStart"/>
      <w:r w:rsidRPr="00884F7A">
        <w:rPr>
          <w:lang w:val="en-GB"/>
        </w:rPr>
        <w:t>Dunietz</w:t>
      </w:r>
      <w:proofErr w:type="spellEnd"/>
      <w:r w:rsidRPr="00884F7A">
        <w:rPr>
          <w:lang w:val="en-GB"/>
        </w:rPr>
        <w:t xml:space="preserve">, J., Roberts, K., Lee, Y., Fontana, P., &amp; </w:t>
      </w:r>
      <w:proofErr w:type="spellStart"/>
      <w:r w:rsidRPr="00884F7A">
        <w:rPr>
          <w:lang w:val="en-GB"/>
        </w:rPr>
        <w:t>Awad</w:t>
      </w:r>
      <w:proofErr w:type="spellEnd"/>
      <w:r w:rsidRPr="00884F7A">
        <w:rPr>
          <w:lang w:val="en-GB"/>
        </w:rPr>
        <w:t xml:space="preserve">, G. (2024). Reducing risks posed by synthetic content: An overview of technical approaches to digital content transparency (NIST AI 100-4). National Institute of Standards and Technology. </w:t>
      </w:r>
      <w:hyperlink r:id="rId8" w:history="1">
        <w:r w:rsidR="00F71CFF" w:rsidRPr="00884F7A">
          <w:rPr>
            <w:rStyle w:val="a3"/>
            <w:lang w:val="en-GB"/>
          </w:rPr>
          <w:t>https://doi.org/10.6028/NIST.AI.100-4</w:t>
        </w:r>
      </w:hyperlink>
    </w:p>
    <w:p w14:paraId="14BFBEDD" w14:textId="00BEF8CD" w:rsidR="00F71CFF" w:rsidRPr="00884F7A" w:rsidRDefault="00F71CFF" w:rsidP="006B59F3">
      <w:pPr>
        <w:pStyle w:val="LEARef"/>
        <w:jc w:val="both"/>
        <w:rPr>
          <w:rStyle w:val="a3"/>
          <w:lang w:val="en-GB"/>
        </w:rPr>
      </w:pPr>
      <w:r w:rsidRPr="00884F7A">
        <w:rPr>
          <w:lang w:val="en-GB"/>
        </w:rPr>
        <w:t xml:space="preserve">[5] Endsley, M. R. (1995). Toward a theory of situation awareness in dynamic systems. Human Factors, 37(1), 32–64. </w:t>
      </w:r>
      <w:hyperlink r:id="rId9" w:history="1">
        <w:r w:rsidRPr="00884F7A">
          <w:rPr>
            <w:rStyle w:val="a3"/>
            <w:lang w:val="en-GB"/>
          </w:rPr>
          <w:t>https://doi.org/10.1518/001872095779049543</w:t>
        </w:r>
      </w:hyperlink>
    </w:p>
    <w:p w14:paraId="395B8CA4" w14:textId="78E534F9" w:rsidR="009F3807" w:rsidRPr="00884F7A" w:rsidRDefault="009F3807" w:rsidP="006B59F3">
      <w:pPr>
        <w:pStyle w:val="LEARef"/>
        <w:jc w:val="both"/>
        <w:rPr>
          <w:lang w:val="en-GB"/>
        </w:rPr>
      </w:pPr>
      <w:r w:rsidRPr="00884F7A">
        <w:rPr>
          <w:lang w:val="en-GB"/>
        </w:rPr>
        <w:t xml:space="preserve">[6] Mygal, G., &amp; Holomysov, V. (2025). Ergonomic analysis of visual communication means in the transport environment. Municipal Economy of Cities, 3(191), 606–615. </w:t>
      </w:r>
      <w:hyperlink r:id="rId10" w:history="1">
        <w:r w:rsidRPr="00884F7A">
          <w:rPr>
            <w:rStyle w:val="a3"/>
            <w:lang w:val="en-GB"/>
          </w:rPr>
          <w:t>https://doi.org/10.33042/2522-1809-2025-3-191-606-615</w:t>
        </w:r>
      </w:hyperlink>
    </w:p>
    <w:sectPr w:rsidR="009F3807" w:rsidRPr="00884F7A">
      <w:headerReference w:type="default" r:id="rId11"/>
      <w:footerReference w:type="default" r:id="rId12"/>
      <w:pgSz w:w="11906" w:h="16838"/>
      <w:pgMar w:top="850" w:right="1417" w:bottom="1134" w:left="850" w:header="397" w:footer="567" w:gutter="284"/>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DA47F" w14:textId="77777777" w:rsidR="00672459" w:rsidRDefault="00672459">
      <w:pPr>
        <w:spacing w:line="240" w:lineRule="auto"/>
      </w:pPr>
      <w:r>
        <w:separator/>
      </w:r>
    </w:p>
  </w:endnote>
  <w:endnote w:type="continuationSeparator" w:id="0">
    <w:p w14:paraId="1E031820" w14:textId="77777777" w:rsidR="00672459" w:rsidRDefault="006724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50E3D" w14:textId="77777777" w:rsidR="00756E3F" w:rsidRDefault="007A2F26">
    <w:pPr>
      <w:pStyle w:val="ac"/>
      <w:spacing w:before="120"/>
      <w:jc w:val="center"/>
    </w:pPr>
    <w:r>
      <w:rPr>
        <w:sz w:val="16"/>
      </w:rPr>
      <w:t>INTERNATIONAL YOUTH SCIENCE FORUM «LITTERIS ET ARTIBUS», NOVEMBER 19–20, 2026, LVIV, UKRAINE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92D02" w14:textId="77777777" w:rsidR="00672459" w:rsidRDefault="00672459">
      <w:pPr>
        <w:spacing w:line="240" w:lineRule="auto"/>
      </w:pPr>
      <w:r>
        <w:separator/>
      </w:r>
    </w:p>
  </w:footnote>
  <w:footnote w:type="continuationSeparator" w:id="0">
    <w:p w14:paraId="529F6BEE" w14:textId="77777777" w:rsidR="00672459" w:rsidRDefault="006724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754A" w14:textId="77777777" w:rsidR="00756E3F" w:rsidRDefault="00756E3F">
    <w:pPr>
      <w:pStyle w:val="ae"/>
      <w:spacing w:after="240"/>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0382F"/>
    <w:multiLevelType w:val="multilevel"/>
    <w:tmpl w:val="4104A148"/>
    <w:lvl w:ilvl="0">
      <w:start w:val="1"/>
      <w:numFmt w:val="decimal"/>
      <w:pStyle w:val="List1"/>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2890A64"/>
    <w:multiLevelType w:val="multilevel"/>
    <w:tmpl w:val="8F0C41B2"/>
    <w:lvl w:ilvl="0">
      <w:start w:val="1"/>
      <w:numFmt w:val="bullet"/>
      <w:pStyle w:val="list10pt1"/>
      <w:lvlText w:val=""/>
      <w:lvlJc w:val="left"/>
      <w:pPr>
        <w:tabs>
          <w:tab w:val="num" w:pos="720"/>
        </w:tabs>
        <w:ind w:left="865" w:hanging="145"/>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4C1D297D"/>
    <w:multiLevelType w:val="multilevel"/>
    <w:tmpl w:val="923CB4AE"/>
    <w:lvl w:ilvl="0">
      <w:start w:val="1"/>
      <w:numFmt w:val="bullet"/>
      <w:pStyle w:val="list10pt"/>
      <w:lvlText w:val=""/>
      <w:lvlJc w:val="left"/>
      <w:pPr>
        <w:tabs>
          <w:tab w:val="num" w:pos="851"/>
        </w:tabs>
        <w:ind w:left="415" w:firstLine="436"/>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76DB793D"/>
    <w:multiLevelType w:val="multilevel"/>
    <w:tmpl w:val="DE6EC1BE"/>
    <w:lvl w:ilvl="0">
      <w:start w:val="1"/>
      <w:numFmt w:val="decimal"/>
      <w:pStyle w:val="Literature"/>
      <w:lvlText w:val="%1."/>
      <w:lvlJc w:val="left"/>
      <w:pPr>
        <w:tabs>
          <w:tab w:val="num" w:pos="567"/>
        </w:tabs>
        <w:ind w:left="567" w:hanging="567"/>
      </w:pPr>
      <w:rPr>
        <w:b w:val="0"/>
        <w:i w:val="0"/>
        <w:sz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F5831D8"/>
    <w:multiLevelType w:val="multilevel"/>
    <w:tmpl w:val="F1525B96"/>
    <w:lvl w:ilvl="0">
      <w:start w:val="1"/>
      <w:numFmt w:val="upperRoman"/>
      <w:pStyle w:val="1"/>
      <w:lvlText w:val="%1."/>
      <w:lvlJc w:val="left"/>
      <w:pPr>
        <w:tabs>
          <w:tab w:val="num" w:pos="170"/>
        </w:tabs>
        <w:ind w:left="170" w:hanging="170"/>
      </w:pPr>
    </w:lvl>
    <w:lvl w:ilvl="1">
      <w:start w:val="1"/>
      <w:numFmt w:val="upperLetter"/>
      <w:pStyle w:val="2"/>
      <w:lvlText w:val="%2."/>
      <w:lvlJc w:val="left"/>
      <w:pPr>
        <w:tabs>
          <w:tab w:val="num" w:pos="170"/>
        </w:tabs>
        <w:ind w:left="142" w:hanging="170"/>
      </w:pPr>
    </w:lvl>
    <w:lvl w:ilvl="2">
      <w:start w:val="1"/>
      <w:numFmt w:val="decimal"/>
      <w:pStyle w:val="3"/>
      <w:lvlText w:val="%3."/>
      <w:lvlJc w:val="left"/>
      <w:pPr>
        <w:tabs>
          <w:tab w:val="num" w:pos="170"/>
        </w:tabs>
        <w:ind w:left="142" w:hanging="170"/>
      </w:pPr>
    </w:lvl>
    <w:lvl w:ilvl="3">
      <w:start w:val="1"/>
      <w:numFmt w:val="lowerLetter"/>
      <w:pStyle w:val="4"/>
      <w:lvlText w:val="%4)"/>
      <w:lvlJc w:val="left"/>
      <w:pPr>
        <w:tabs>
          <w:tab w:val="num" w:pos="708"/>
        </w:tabs>
        <w:ind w:left="1218" w:hanging="708"/>
      </w:pPr>
    </w:lvl>
    <w:lvl w:ilvl="4">
      <w:start w:val="1"/>
      <w:numFmt w:val="decimal"/>
      <w:pStyle w:val="5"/>
      <w:lvlText w:val="(%5)"/>
      <w:lvlJc w:val="left"/>
      <w:pPr>
        <w:tabs>
          <w:tab w:val="num" w:pos="708"/>
        </w:tabs>
        <w:ind w:left="1926" w:hanging="708"/>
      </w:pPr>
    </w:lvl>
    <w:lvl w:ilvl="5">
      <w:start w:val="1"/>
      <w:numFmt w:val="lowerLetter"/>
      <w:pStyle w:val="6"/>
      <w:lvlText w:val="(%6)"/>
      <w:lvlJc w:val="left"/>
      <w:pPr>
        <w:tabs>
          <w:tab w:val="num" w:pos="708"/>
        </w:tabs>
        <w:ind w:left="2634" w:hanging="708"/>
      </w:pPr>
    </w:lvl>
    <w:lvl w:ilvl="6">
      <w:start w:val="1"/>
      <w:numFmt w:val="lowerRoman"/>
      <w:pStyle w:val="7"/>
      <w:lvlText w:val="(%7)"/>
      <w:lvlJc w:val="left"/>
      <w:pPr>
        <w:tabs>
          <w:tab w:val="num" w:pos="708"/>
        </w:tabs>
        <w:ind w:left="3342" w:hanging="708"/>
      </w:pPr>
    </w:lvl>
    <w:lvl w:ilvl="7">
      <w:start w:val="1"/>
      <w:numFmt w:val="lowerLetter"/>
      <w:pStyle w:val="8"/>
      <w:lvlText w:val="(%8)"/>
      <w:lvlJc w:val="left"/>
      <w:pPr>
        <w:tabs>
          <w:tab w:val="num" w:pos="708"/>
        </w:tabs>
        <w:ind w:left="4050" w:hanging="708"/>
      </w:pPr>
    </w:lvl>
    <w:lvl w:ilvl="8">
      <w:start w:val="1"/>
      <w:numFmt w:val="lowerRoman"/>
      <w:pStyle w:val="9"/>
      <w:lvlText w:val="(%9)"/>
      <w:lvlJc w:val="left"/>
      <w:pPr>
        <w:tabs>
          <w:tab w:val="num" w:pos="708"/>
        </w:tabs>
        <w:ind w:left="4758" w:hanging="708"/>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mirrorMargins/>
  <w:proofState w:spelling="clean" w:grammar="clean"/>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6E3F"/>
    <w:rsid w:val="000028BB"/>
    <w:rsid w:val="00031411"/>
    <w:rsid w:val="000450C8"/>
    <w:rsid w:val="002314C1"/>
    <w:rsid w:val="0038352D"/>
    <w:rsid w:val="003E2A22"/>
    <w:rsid w:val="004E4403"/>
    <w:rsid w:val="004E72DC"/>
    <w:rsid w:val="005601BD"/>
    <w:rsid w:val="005778A7"/>
    <w:rsid w:val="005A7724"/>
    <w:rsid w:val="00660FD5"/>
    <w:rsid w:val="00672459"/>
    <w:rsid w:val="00686C9E"/>
    <w:rsid w:val="006B59F3"/>
    <w:rsid w:val="00722A5D"/>
    <w:rsid w:val="00756E3F"/>
    <w:rsid w:val="0079574B"/>
    <w:rsid w:val="007A2F26"/>
    <w:rsid w:val="00884F7A"/>
    <w:rsid w:val="008B725D"/>
    <w:rsid w:val="008C19E3"/>
    <w:rsid w:val="008E5304"/>
    <w:rsid w:val="009065FF"/>
    <w:rsid w:val="00947A09"/>
    <w:rsid w:val="009F3807"/>
    <w:rsid w:val="00AF4906"/>
    <w:rsid w:val="00B12F68"/>
    <w:rsid w:val="00C25C5F"/>
    <w:rsid w:val="00C61421"/>
    <w:rsid w:val="00D3049B"/>
    <w:rsid w:val="00D8537A"/>
    <w:rsid w:val="00DD1415"/>
    <w:rsid w:val="00E502F9"/>
    <w:rsid w:val="00E535B0"/>
    <w:rsid w:val="00F53737"/>
    <w:rsid w:val="00F71CFF"/>
    <w:rsid w:val="00FB6E07"/>
    <w:rsid w:val="00FD74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2C92F"/>
  <w15:docId w15:val="{EFC533E0-9EF0-4E32-A1C2-2C1A8B0A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line="276" w:lineRule="auto"/>
      <w:ind w:firstLine="567"/>
    </w:pPr>
    <w:rPr>
      <w:rFonts w:ascii="Times New Roman" w:eastAsia="Times New Roman" w:hAnsi="Times New Roman" w:cs="Times New Roman"/>
      <w:sz w:val="24"/>
      <w:szCs w:val="24"/>
      <w:lang w:eastAsia="zh-CN"/>
    </w:rPr>
  </w:style>
  <w:style w:type="paragraph" w:styleId="1">
    <w:name w:val="heading 1"/>
    <w:basedOn w:val="a"/>
    <w:next w:val="a"/>
    <w:uiPriority w:val="9"/>
    <w:qFormat/>
    <w:pPr>
      <w:keepNext/>
      <w:numPr>
        <w:numId w:val="1"/>
      </w:numPr>
      <w:tabs>
        <w:tab w:val="left" w:pos="198"/>
      </w:tabs>
      <w:spacing w:before="240" w:after="60"/>
      <w:jc w:val="center"/>
      <w:outlineLvl w:val="0"/>
    </w:pPr>
    <w:rPr>
      <w:rFonts w:ascii="Arial" w:hAnsi="Arial" w:cs="Arial"/>
      <w:kern w:val="2"/>
      <w:szCs w:val="20"/>
    </w:rPr>
  </w:style>
  <w:style w:type="paragraph" w:styleId="2">
    <w:name w:val="heading 2"/>
    <w:basedOn w:val="a"/>
    <w:next w:val="a"/>
    <w:uiPriority w:val="9"/>
    <w:semiHidden/>
    <w:unhideWhenUsed/>
    <w:qFormat/>
    <w:pPr>
      <w:keepNext/>
      <w:numPr>
        <w:ilvl w:val="1"/>
        <w:numId w:val="1"/>
      </w:numPr>
      <w:tabs>
        <w:tab w:val="left" w:pos="198"/>
      </w:tabs>
      <w:spacing w:before="120" w:after="60"/>
      <w:jc w:val="both"/>
      <w:outlineLvl w:val="1"/>
    </w:pPr>
    <w:rPr>
      <w:rFonts w:ascii="Arial" w:hAnsi="Arial" w:cs="Arial"/>
      <w:i/>
      <w:sz w:val="22"/>
      <w:szCs w:val="20"/>
    </w:rPr>
  </w:style>
  <w:style w:type="paragraph" w:styleId="3">
    <w:name w:val="heading 3"/>
    <w:basedOn w:val="a"/>
    <w:next w:val="a"/>
    <w:uiPriority w:val="9"/>
    <w:semiHidden/>
    <w:unhideWhenUsed/>
    <w:qFormat/>
    <w:pPr>
      <w:keepNext/>
      <w:numPr>
        <w:ilvl w:val="2"/>
        <w:numId w:val="1"/>
      </w:numPr>
      <w:tabs>
        <w:tab w:val="left" w:pos="198"/>
      </w:tabs>
      <w:spacing w:before="120" w:after="60"/>
      <w:ind w:left="0" w:firstLine="170"/>
      <w:jc w:val="center"/>
      <w:outlineLvl w:val="2"/>
    </w:pPr>
    <w:rPr>
      <w:rFonts w:ascii="Arial" w:hAnsi="Arial" w:cs="Arial"/>
      <w:sz w:val="20"/>
      <w:szCs w:val="20"/>
    </w:rPr>
  </w:style>
  <w:style w:type="paragraph" w:styleId="4">
    <w:name w:val="heading 4"/>
    <w:basedOn w:val="a"/>
    <w:next w:val="a"/>
    <w:uiPriority w:val="9"/>
    <w:semiHidden/>
    <w:unhideWhenUsed/>
    <w:qFormat/>
    <w:pPr>
      <w:keepNext/>
      <w:numPr>
        <w:ilvl w:val="3"/>
        <w:numId w:val="1"/>
      </w:numPr>
      <w:tabs>
        <w:tab w:val="clear" w:pos="708"/>
        <w:tab w:val="left" w:pos="198"/>
      </w:tabs>
      <w:spacing w:before="240" w:after="60"/>
      <w:jc w:val="both"/>
      <w:outlineLvl w:val="3"/>
    </w:pPr>
    <w:rPr>
      <w:rFonts w:ascii="Arial" w:hAnsi="Arial" w:cs="Arial"/>
      <w:b/>
      <w:szCs w:val="20"/>
      <w:lang w:val="en-GB"/>
    </w:rPr>
  </w:style>
  <w:style w:type="paragraph" w:styleId="5">
    <w:name w:val="heading 5"/>
    <w:basedOn w:val="a"/>
    <w:next w:val="a"/>
    <w:uiPriority w:val="9"/>
    <w:semiHidden/>
    <w:unhideWhenUsed/>
    <w:qFormat/>
    <w:pPr>
      <w:numPr>
        <w:ilvl w:val="4"/>
        <w:numId w:val="1"/>
      </w:numPr>
      <w:tabs>
        <w:tab w:val="clear" w:pos="708"/>
        <w:tab w:val="left" w:pos="198"/>
      </w:tabs>
      <w:spacing w:before="240" w:after="60"/>
      <w:jc w:val="both"/>
      <w:outlineLvl w:val="4"/>
    </w:pPr>
    <w:rPr>
      <w:rFonts w:ascii="Arial" w:hAnsi="Arial" w:cs="Arial"/>
      <w:sz w:val="22"/>
      <w:szCs w:val="20"/>
      <w:lang w:val="en-GB"/>
    </w:rPr>
  </w:style>
  <w:style w:type="paragraph" w:styleId="6">
    <w:name w:val="heading 6"/>
    <w:basedOn w:val="a"/>
    <w:next w:val="a"/>
    <w:uiPriority w:val="9"/>
    <w:semiHidden/>
    <w:unhideWhenUsed/>
    <w:qFormat/>
    <w:pPr>
      <w:numPr>
        <w:ilvl w:val="5"/>
        <w:numId w:val="1"/>
      </w:numPr>
      <w:tabs>
        <w:tab w:val="clear" w:pos="708"/>
        <w:tab w:val="left" w:pos="198"/>
      </w:tabs>
      <w:spacing w:before="240" w:after="60"/>
      <w:jc w:val="both"/>
      <w:outlineLvl w:val="5"/>
    </w:pPr>
    <w:rPr>
      <w:i/>
      <w:sz w:val="22"/>
      <w:szCs w:val="20"/>
      <w:lang w:val="en-GB"/>
    </w:rPr>
  </w:style>
  <w:style w:type="paragraph" w:styleId="7">
    <w:name w:val="heading 7"/>
    <w:basedOn w:val="a"/>
    <w:next w:val="a"/>
    <w:qFormat/>
    <w:pPr>
      <w:numPr>
        <w:ilvl w:val="6"/>
        <w:numId w:val="1"/>
      </w:numPr>
      <w:tabs>
        <w:tab w:val="clear" w:pos="708"/>
        <w:tab w:val="left" w:pos="198"/>
      </w:tabs>
      <w:spacing w:before="240" w:after="60"/>
      <w:jc w:val="both"/>
      <w:outlineLvl w:val="6"/>
    </w:pPr>
    <w:rPr>
      <w:rFonts w:ascii="Arial" w:hAnsi="Arial" w:cs="Arial"/>
      <w:sz w:val="20"/>
      <w:szCs w:val="20"/>
      <w:lang w:val="en-GB"/>
    </w:rPr>
  </w:style>
  <w:style w:type="paragraph" w:styleId="8">
    <w:name w:val="heading 8"/>
    <w:basedOn w:val="a"/>
    <w:next w:val="a"/>
    <w:qFormat/>
    <w:pPr>
      <w:numPr>
        <w:ilvl w:val="7"/>
        <w:numId w:val="1"/>
      </w:numPr>
      <w:tabs>
        <w:tab w:val="clear" w:pos="708"/>
        <w:tab w:val="left" w:pos="198"/>
      </w:tabs>
      <w:spacing w:before="240" w:after="60"/>
      <w:jc w:val="both"/>
      <w:outlineLvl w:val="7"/>
    </w:pPr>
    <w:rPr>
      <w:rFonts w:ascii="Arial" w:hAnsi="Arial" w:cs="Arial"/>
      <w:i/>
      <w:sz w:val="20"/>
      <w:szCs w:val="20"/>
      <w:lang w:val="en-GB"/>
    </w:rPr>
  </w:style>
  <w:style w:type="paragraph" w:styleId="9">
    <w:name w:val="heading 9"/>
    <w:basedOn w:val="a"/>
    <w:next w:val="a"/>
    <w:qFormat/>
    <w:pPr>
      <w:numPr>
        <w:ilvl w:val="8"/>
        <w:numId w:val="1"/>
      </w:numPr>
      <w:tabs>
        <w:tab w:val="clear" w:pos="708"/>
        <w:tab w:val="left" w:pos="198"/>
      </w:tabs>
      <w:spacing w:before="240" w:after="60"/>
      <w:jc w:val="both"/>
      <w:outlineLvl w:val="8"/>
    </w:pPr>
    <w:rPr>
      <w:rFonts w:ascii="Arial" w:hAnsi="Arial" w:cs="Arial"/>
      <w:b/>
      <w:i/>
      <w:sz w:val="18"/>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qFormat/>
    <w:rPr>
      <w:b w:val="0"/>
      <w:i w:val="0"/>
      <w:sz w:val="24"/>
      <w:u w:val="none"/>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styleId="a3">
    <w:name w:val="Hyperlink"/>
    <w:rPr>
      <w:color w:val="0000FF"/>
      <w:u w:val="single"/>
    </w:rPr>
  </w:style>
  <w:style w:type="character" w:styleId="a4">
    <w:name w:val="page number"/>
  </w:style>
  <w:style w:type="character" w:styleId="a5">
    <w:name w:val="Strong"/>
    <w:uiPriority w:val="22"/>
    <w:qFormat/>
    <w:rPr>
      <w:b/>
      <w:bCs/>
    </w:rPr>
  </w:style>
  <w:style w:type="character" w:customStyle="1" w:styleId="IndexTerms">
    <w:name w:val="Index Terms Знак"/>
    <w:qFormat/>
    <w:rPr>
      <w:sz w:val="22"/>
      <w:szCs w:val="22"/>
    </w:rPr>
  </w:style>
  <w:style w:type="character" w:customStyle="1" w:styleId="a6">
    <w:name w:val="подпись к картинке Знак"/>
    <w:qFormat/>
    <w:rPr>
      <w:sz w:val="18"/>
      <w:szCs w:val="18"/>
      <w:lang w:val="ru-RU" w:bidi="ar-SA"/>
    </w:rPr>
  </w:style>
  <w:style w:type="character" w:customStyle="1" w:styleId="list10pt10">
    <w:name w:val="Стиль list + 10 pt1 Знак"/>
    <w:qFormat/>
    <w:rPr>
      <w:szCs w:val="28"/>
      <w:lang w:val="ru-RU" w:bidi="ar-SA"/>
    </w:rPr>
  </w:style>
  <w:style w:type="character" w:customStyle="1" w:styleId="a7">
    <w:name w:val="курсив"/>
    <w:qFormat/>
    <w:rPr>
      <w:i/>
      <w:iCs/>
    </w:rPr>
  </w:style>
  <w:style w:type="character" w:customStyle="1" w:styleId="Table">
    <w:name w:val="Table Знак"/>
    <w:qFormat/>
    <w:rPr>
      <w:i/>
      <w:sz w:val="24"/>
      <w:szCs w:val="24"/>
      <w:lang w:val="en-US"/>
    </w:rPr>
  </w:style>
  <w:style w:type="paragraph" w:customStyle="1" w:styleId="Heading">
    <w:name w:val="Heading"/>
    <w:basedOn w:val="a"/>
    <w:next w:val="a8"/>
    <w:qFormat/>
    <w:pPr>
      <w:spacing w:after="120"/>
      <w:jc w:val="center"/>
    </w:pPr>
    <w:rPr>
      <w:b/>
    </w:rPr>
  </w:style>
  <w:style w:type="paragraph" w:styleId="a8">
    <w:name w:val="Body Text"/>
    <w:basedOn w:val="a"/>
    <w:pPr>
      <w:spacing w:after="120"/>
    </w:pPr>
  </w:style>
  <w:style w:type="paragraph" w:styleId="a9">
    <w:name w:val="List"/>
    <w:basedOn w:val="a8"/>
    <w:rPr>
      <w:rFonts w:cs="Lohit Devanagari"/>
    </w:rPr>
  </w:style>
  <w:style w:type="paragraph" w:styleId="aa">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Lohit Devanagari"/>
    </w:rPr>
  </w:style>
  <w:style w:type="paragraph" w:styleId="20">
    <w:name w:val="Body Text 2"/>
    <w:basedOn w:val="a"/>
    <w:qFormat/>
    <w:pPr>
      <w:spacing w:after="120" w:line="480" w:lineRule="auto"/>
    </w:pPr>
  </w:style>
  <w:style w:type="paragraph" w:styleId="ab">
    <w:name w:val="Body Text Indent"/>
    <w:basedOn w:val="a"/>
    <w:pPr>
      <w:tabs>
        <w:tab w:val="left" w:pos="198"/>
      </w:tabs>
      <w:autoSpaceDE w:val="0"/>
      <w:jc w:val="both"/>
    </w:pPr>
    <w:rPr>
      <w:sz w:val="20"/>
      <w:szCs w:val="20"/>
      <w:lang w:val="en-US"/>
    </w:rPr>
  </w:style>
  <w:style w:type="paragraph" w:styleId="21">
    <w:name w:val="Body Text Indent 2"/>
    <w:basedOn w:val="a"/>
    <w:qFormat/>
    <w:pPr>
      <w:tabs>
        <w:tab w:val="left" w:pos="198"/>
      </w:tabs>
      <w:spacing w:after="120" w:line="480" w:lineRule="auto"/>
      <w:ind w:left="283" w:firstLine="170"/>
      <w:jc w:val="both"/>
    </w:pPr>
    <w:rPr>
      <w:sz w:val="20"/>
      <w:szCs w:val="20"/>
      <w:lang w:val="en-GB"/>
    </w:rPr>
  </w:style>
  <w:style w:type="paragraph" w:styleId="30">
    <w:name w:val="Body Text Indent 3"/>
    <w:basedOn w:val="a"/>
    <w:qFormat/>
    <w:pPr>
      <w:spacing w:after="120"/>
      <w:ind w:left="283" w:firstLine="0"/>
    </w:pPr>
    <w:rPr>
      <w:sz w:val="16"/>
      <w:szCs w:val="16"/>
    </w:rPr>
  </w:style>
  <w:style w:type="paragraph" w:customStyle="1" w:styleId="HeaderandFooter">
    <w:name w:val="Header and Footer"/>
    <w:basedOn w:val="a"/>
    <w:qFormat/>
    <w:pPr>
      <w:suppressLineNumbers/>
      <w:tabs>
        <w:tab w:val="center" w:pos="4819"/>
        <w:tab w:val="right" w:pos="9638"/>
      </w:tabs>
    </w:pPr>
  </w:style>
  <w:style w:type="paragraph" w:styleId="ac">
    <w:name w:val="footer"/>
    <w:basedOn w:val="a"/>
    <w:pPr>
      <w:tabs>
        <w:tab w:val="center" w:pos="4153"/>
        <w:tab w:val="right" w:pos="8306"/>
      </w:tabs>
      <w:overflowPunct w:val="0"/>
      <w:autoSpaceDE w:val="0"/>
      <w:textAlignment w:val="baseline"/>
    </w:pPr>
    <w:rPr>
      <w:sz w:val="20"/>
      <w:szCs w:val="20"/>
      <w:lang w:val="ru-RU"/>
    </w:rPr>
  </w:style>
  <w:style w:type="paragraph" w:styleId="ad">
    <w:name w:val="footnote text"/>
    <w:basedOn w:val="a"/>
    <w:pPr>
      <w:tabs>
        <w:tab w:val="left" w:pos="198"/>
      </w:tabs>
      <w:ind w:firstLine="198"/>
      <w:jc w:val="both"/>
    </w:pPr>
    <w:rPr>
      <w:sz w:val="16"/>
      <w:szCs w:val="20"/>
    </w:rPr>
  </w:style>
  <w:style w:type="paragraph" w:styleId="ae">
    <w:name w:val="header"/>
    <w:basedOn w:val="a"/>
    <w:pPr>
      <w:tabs>
        <w:tab w:val="center" w:pos="4986"/>
        <w:tab w:val="right" w:pos="9973"/>
      </w:tabs>
    </w:pPr>
  </w:style>
  <w:style w:type="paragraph" w:styleId="af">
    <w:name w:val="Normal (Web)"/>
    <w:basedOn w:val="a"/>
    <w:uiPriority w:val="99"/>
    <w:qFormat/>
    <w:pPr>
      <w:spacing w:before="100" w:after="100"/>
    </w:pPr>
    <w:rPr>
      <w:lang w:val="en-US"/>
    </w:rPr>
  </w:style>
  <w:style w:type="paragraph" w:customStyle="1" w:styleId="Author">
    <w:name w:val="Author"/>
    <w:basedOn w:val="a"/>
    <w:qFormat/>
    <w:pPr>
      <w:tabs>
        <w:tab w:val="left" w:pos="198"/>
      </w:tabs>
      <w:spacing w:after="120"/>
      <w:jc w:val="center"/>
    </w:pPr>
    <w:rPr>
      <w:sz w:val="26"/>
      <w:szCs w:val="26"/>
    </w:rPr>
  </w:style>
  <w:style w:type="paragraph" w:customStyle="1" w:styleId="MainTitle">
    <w:name w:val="Main Title"/>
    <w:basedOn w:val="a"/>
    <w:qFormat/>
    <w:pPr>
      <w:tabs>
        <w:tab w:val="left" w:pos="198"/>
      </w:tabs>
      <w:spacing w:after="120"/>
      <w:jc w:val="center"/>
    </w:pPr>
    <w:rPr>
      <w:b/>
      <w:sz w:val="32"/>
      <w:szCs w:val="20"/>
    </w:rPr>
  </w:style>
  <w:style w:type="paragraph" w:customStyle="1" w:styleId="Affilation">
    <w:name w:val="Affilation"/>
    <w:basedOn w:val="Author"/>
    <w:qFormat/>
    <w:rPr>
      <w:sz w:val="18"/>
    </w:rPr>
  </w:style>
  <w:style w:type="paragraph" w:customStyle="1" w:styleId="Abstract">
    <w:name w:val="Abstract"/>
    <w:basedOn w:val="a"/>
    <w:qFormat/>
    <w:pPr>
      <w:tabs>
        <w:tab w:val="left" w:pos="-1276"/>
        <w:tab w:val="left" w:pos="198"/>
      </w:tabs>
      <w:spacing w:after="120"/>
      <w:jc w:val="both"/>
    </w:pPr>
    <w:rPr>
      <w:b/>
      <w:i/>
      <w:sz w:val="22"/>
      <w:szCs w:val="22"/>
    </w:rPr>
  </w:style>
  <w:style w:type="paragraph" w:customStyle="1" w:styleId="IndexTerms0">
    <w:name w:val="Index Terms"/>
    <w:basedOn w:val="a"/>
    <w:qFormat/>
    <w:pPr>
      <w:tabs>
        <w:tab w:val="left" w:pos="198"/>
      </w:tabs>
      <w:spacing w:after="120"/>
      <w:jc w:val="both"/>
    </w:pPr>
    <w:rPr>
      <w:sz w:val="22"/>
      <w:szCs w:val="22"/>
    </w:rPr>
  </w:style>
  <w:style w:type="paragraph" w:customStyle="1" w:styleId="Figure">
    <w:name w:val="Figure"/>
    <w:basedOn w:val="a"/>
    <w:qFormat/>
    <w:pPr>
      <w:keepNext/>
      <w:spacing w:before="120" w:line="264" w:lineRule="auto"/>
      <w:jc w:val="center"/>
    </w:pPr>
    <w:rPr>
      <w:b/>
      <w:szCs w:val="20"/>
    </w:rPr>
  </w:style>
  <w:style w:type="paragraph" w:customStyle="1" w:styleId="af0">
    <w:name w:val="подпись к картинке"/>
    <w:basedOn w:val="a"/>
    <w:qFormat/>
    <w:pPr>
      <w:jc w:val="center"/>
    </w:pPr>
    <w:rPr>
      <w:sz w:val="18"/>
      <w:szCs w:val="18"/>
      <w:lang w:val="ru-RU"/>
    </w:rPr>
  </w:style>
  <w:style w:type="paragraph" w:customStyle="1" w:styleId="list10pt">
    <w:name w:val="Стиль list + 10 pt"/>
    <w:basedOn w:val="a"/>
    <w:qFormat/>
    <w:pPr>
      <w:numPr>
        <w:numId w:val="5"/>
      </w:numPr>
      <w:tabs>
        <w:tab w:val="left" w:pos="851"/>
      </w:tabs>
      <w:jc w:val="both"/>
    </w:pPr>
    <w:rPr>
      <w:sz w:val="20"/>
      <w:szCs w:val="28"/>
      <w:lang w:val="ru-RU"/>
    </w:rPr>
  </w:style>
  <w:style w:type="paragraph" w:customStyle="1" w:styleId="list10pt1">
    <w:name w:val="Стиль list + 10 pt1"/>
    <w:basedOn w:val="a"/>
    <w:qFormat/>
    <w:pPr>
      <w:numPr>
        <w:numId w:val="4"/>
      </w:numPr>
      <w:tabs>
        <w:tab w:val="left" w:pos="720"/>
      </w:tabs>
      <w:jc w:val="both"/>
    </w:pPr>
    <w:rPr>
      <w:sz w:val="20"/>
      <w:szCs w:val="28"/>
      <w:lang w:val="ru-RU"/>
    </w:rPr>
  </w:style>
  <w:style w:type="paragraph" w:customStyle="1" w:styleId="article">
    <w:name w:val="article"/>
    <w:basedOn w:val="a"/>
    <w:qFormat/>
    <w:pPr>
      <w:spacing w:line="288" w:lineRule="auto"/>
      <w:ind w:firstLine="720"/>
      <w:jc w:val="both"/>
    </w:pPr>
    <w:rPr>
      <w:sz w:val="20"/>
      <w:szCs w:val="20"/>
      <w:lang w:val="ru-RU"/>
    </w:rPr>
  </w:style>
  <w:style w:type="paragraph" w:customStyle="1" w:styleId="List1">
    <w:name w:val="List1"/>
    <w:basedOn w:val="a"/>
    <w:qFormat/>
    <w:pPr>
      <w:numPr>
        <w:numId w:val="2"/>
      </w:numPr>
      <w:tabs>
        <w:tab w:val="clear" w:pos="720"/>
      </w:tabs>
      <w:spacing w:after="120"/>
      <w:ind w:left="357" w:hanging="357"/>
      <w:jc w:val="both"/>
    </w:pPr>
    <w:rPr>
      <w:sz w:val="20"/>
      <w:szCs w:val="20"/>
      <w:lang w:val="en-GB"/>
    </w:rPr>
  </w:style>
  <w:style w:type="paragraph" w:customStyle="1" w:styleId="Text">
    <w:name w:val="Text"/>
    <w:basedOn w:val="a"/>
    <w:qFormat/>
    <w:pPr>
      <w:jc w:val="both"/>
    </w:pPr>
    <w:rPr>
      <w:szCs w:val="20"/>
    </w:rPr>
  </w:style>
  <w:style w:type="paragraph" w:customStyle="1" w:styleId="Equation">
    <w:name w:val="Equation"/>
    <w:basedOn w:val="a"/>
    <w:qFormat/>
    <w:pPr>
      <w:tabs>
        <w:tab w:val="left" w:pos="198"/>
        <w:tab w:val="center" w:pos="2410"/>
        <w:tab w:val="right" w:pos="4962"/>
      </w:tabs>
      <w:ind w:firstLine="170"/>
      <w:jc w:val="both"/>
    </w:pPr>
    <w:rPr>
      <w:sz w:val="20"/>
      <w:szCs w:val="20"/>
    </w:rPr>
  </w:style>
  <w:style w:type="paragraph" w:customStyle="1" w:styleId="ETytle">
    <w:name w:val="E. Tytle"/>
    <w:basedOn w:val="a"/>
    <w:qFormat/>
    <w:pPr>
      <w:tabs>
        <w:tab w:val="left" w:pos="198"/>
      </w:tabs>
      <w:spacing w:after="120"/>
      <w:ind w:firstLine="170"/>
      <w:jc w:val="center"/>
    </w:pPr>
    <w:rPr>
      <w:b/>
      <w:smallCaps/>
      <w:szCs w:val="20"/>
      <w:lang w:val="en-US"/>
    </w:rPr>
  </w:style>
  <w:style w:type="paragraph" w:customStyle="1" w:styleId="References">
    <w:name w:val="References"/>
    <w:basedOn w:val="a"/>
    <w:qFormat/>
    <w:pPr>
      <w:ind w:left="567" w:hanging="567"/>
      <w:jc w:val="both"/>
    </w:pPr>
    <w:rPr>
      <w:szCs w:val="20"/>
    </w:rPr>
  </w:style>
  <w:style w:type="paragraph" w:customStyle="1" w:styleId="10">
    <w:name w:val="Стиль1"/>
    <w:basedOn w:val="a"/>
    <w:qFormat/>
    <w:pPr>
      <w:tabs>
        <w:tab w:val="left" w:pos="198"/>
      </w:tabs>
      <w:spacing w:before="60" w:after="60"/>
      <w:ind w:firstLine="170"/>
      <w:jc w:val="center"/>
    </w:pPr>
    <w:rPr>
      <w:smallCaps/>
      <w:sz w:val="18"/>
      <w:szCs w:val="20"/>
    </w:rPr>
  </w:style>
  <w:style w:type="paragraph" w:customStyle="1" w:styleId="Literature">
    <w:name w:val="Literature"/>
    <w:basedOn w:val="a"/>
    <w:qFormat/>
    <w:pPr>
      <w:numPr>
        <w:numId w:val="3"/>
      </w:numPr>
      <w:tabs>
        <w:tab w:val="left" w:pos="567"/>
      </w:tabs>
      <w:spacing w:line="360" w:lineRule="auto"/>
      <w:jc w:val="both"/>
    </w:pPr>
    <w:rPr>
      <w:sz w:val="28"/>
      <w:szCs w:val="20"/>
    </w:rPr>
  </w:style>
  <w:style w:type="paragraph" w:customStyle="1" w:styleId="Heading11">
    <w:name w:val="Heading 11"/>
    <w:basedOn w:val="a"/>
    <w:qFormat/>
    <w:pPr>
      <w:spacing w:before="120" w:after="120"/>
      <w:jc w:val="center"/>
    </w:pPr>
    <w:rPr>
      <w:b/>
      <w:bCs/>
      <w:szCs w:val="20"/>
    </w:rPr>
  </w:style>
  <w:style w:type="paragraph" w:customStyle="1" w:styleId="Table0">
    <w:name w:val="Table"/>
    <w:basedOn w:val="a"/>
    <w:qFormat/>
    <w:pPr>
      <w:jc w:val="right"/>
    </w:pPr>
    <w:rPr>
      <w:i/>
      <w:lang w:val="en-US"/>
    </w:rPr>
  </w:style>
  <w:style w:type="paragraph" w:customStyle="1" w:styleId="Tablehead">
    <w:name w:val="Table head"/>
    <w:basedOn w:val="a"/>
    <w:qFormat/>
    <w:pPr>
      <w:spacing w:line="360" w:lineRule="auto"/>
      <w:jc w:val="center"/>
    </w:p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paragraph" w:customStyle="1" w:styleId="LEATitle">
    <w:name w:val="LEA Title"/>
    <w:pPr>
      <w:keepNext/>
      <w:suppressAutoHyphens/>
      <w:spacing w:after="120" w:line="276" w:lineRule="auto"/>
    </w:pPr>
    <w:rPr>
      <w:rFonts w:ascii="Times New Roman" w:hAnsi="Times New Roman"/>
      <w:b/>
      <w:sz w:val="28"/>
      <w:szCs w:val="24"/>
      <w:lang w:val="en-US" w:eastAsia="zh-CN" w:bidi="hi-IN"/>
    </w:rPr>
  </w:style>
  <w:style w:type="paragraph" w:customStyle="1" w:styleId="LEAAuthors">
    <w:name w:val="LEA Authors"/>
    <w:pPr>
      <w:keepNext/>
      <w:suppressAutoHyphens/>
      <w:spacing w:after="120" w:line="276" w:lineRule="auto"/>
    </w:pPr>
    <w:rPr>
      <w:rFonts w:ascii="Times New Roman" w:hAnsi="Times New Roman"/>
      <w:sz w:val="24"/>
      <w:szCs w:val="24"/>
      <w:lang w:val="en-US" w:eastAsia="zh-CN" w:bidi="hi-IN"/>
    </w:rPr>
  </w:style>
  <w:style w:type="paragraph" w:customStyle="1" w:styleId="LEAAffiliation">
    <w:name w:val="LEA Affiliation"/>
    <w:pPr>
      <w:keepNext/>
      <w:suppressAutoHyphens/>
      <w:spacing w:after="40" w:line="276" w:lineRule="auto"/>
    </w:pPr>
    <w:rPr>
      <w:rFonts w:ascii="Times New Roman" w:hAnsi="Times New Roman"/>
      <w:szCs w:val="24"/>
      <w:lang w:val="en-US" w:eastAsia="zh-CN" w:bidi="hi-IN"/>
    </w:rPr>
  </w:style>
  <w:style w:type="paragraph" w:customStyle="1" w:styleId="LEAAbstract">
    <w:name w:val="LEA Abstract"/>
    <w:pPr>
      <w:suppressAutoHyphens/>
      <w:spacing w:after="120" w:line="276" w:lineRule="auto"/>
    </w:pPr>
    <w:rPr>
      <w:rFonts w:ascii="Times New Roman" w:hAnsi="Times New Roman"/>
      <w:b/>
      <w:i/>
      <w:sz w:val="22"/>
      <w:szCs w:val="24"/>
      <w:lang w:val="en-US" w:eastAsia="zh-CN" w:bidi="hi-IN"/>
    </w:rPr>
  </w:style>
  <w:style w:type="paragraph" w:customStyle="1" w:styleId="LEAKey">
    <w:name w:val="LEA Key"/>
    <w:pPr>
      <w:suppressAutoHyphens/>
      <w:spacing w:after="100" w:line="276" w:lineRule="auto"/>
    </w:pPr>
    <w:rPr>
      <w:rFonts w:ascii="Times New Roman" w:hAnsi="Times New Roman"/>
      <w:sz w:val="22"/>
      <w:szCs w:val="24"/>
      <w:lang w:val="en-US" w:eastAsia="zh-CN" w:bidi="hi-IN"/>
    </w:rPr>
  </w:style>
  <w:style w:type="paragraph" w:customStyle="1" w:styleId="LEAHeading">
    <w:name w:val="LEA Heading"/>
    <w:pPr>
      <w:keepNext/>
      <w:suppressAutoHyphens/>
      <w:spacing w:before="100" w:after="100" w:line="276" w:lineRule="auto"/>
    </w:pPr>
    <w:rPr>
      <w:rFonts w:ascii="Times New Roman" w:hAnsi="Times New Roman"/>
      <w:b/>
      <w:sz w:val="24"/>
      <w:szCs w:val="24"/>
      <w:lang w:val="en-US" w:eastAsia="zh-CN" w:bidi="hi-IN"/>
    </w:rPr>
  </w:style>
  <w:style w:type="paragraph" w:customStyle="1" w:styleId="LEABody">
    <w:name w:val="LEA Body"/>
    <w:pPr>
      <w:suppressAutoHyphens/>
      <w:spacing w:line="276" w:lineRule="auto"/>
      <w:ind w:firstLine="567"/>
    </w:pPr>
    <w:rPr>
      <w:rFonts w:ascii="Times New Roman" w:hAnsi="Times New Roman"/>
      <w:sz w:val="24"/>
      <w:szCs w:val="24"/>
      <w:lang w:val="en-US" w:eastAsia="zh-CN" w:bidi="hi-IN"/>
    </w:rPr>
  </w:style>
  <w:style w:type="paragraph" w:customStyle="1" w:styleId="LEACaption">
    <w:name w:val="LEA Caption"/>
    <w:pPr>
      <w:keepNext/>
      <w:suppressAutoHyphens/>
      <w:spacing w:before="100" w:after="80" w:line="276" w:lineRule="auto"/>
    </w:pPr>
    <w:rPr>
      <w:rFonts w:ascii="Times New Roman" w:hAnsi="Times New Roman"/>
      <w:sz w:val="24"/>
      <w:szCs w:val="24"/>
      <w:lang w:val="en-US" w:eastAsia="zh-CN" w:bidi="hi-IN"/>
    </w:rPr>
  </w:style>
  <w:style w:type="paragraph" w:customStyle="1" w:styleId="LEARef">
    <w:name w:val="LEA Ref"/>
    <w:pPr>
      <w:suppressAutoHyphens/>
      <w:ind w:left="312" w:hanging="312"/>
    </w:pPr>
    <w:rPr>
      <w:rFonts w:ascii="Times New Roman" w:hAnsi="Times New Roman"/>
      <w:sz w:val="24"/>
      <w:szCs w:val="24"/>
      <w:lang w:val="en-US" w:eastAsia="zh-CN" w:bidi="hi-IN"/>
    </w:rPr>
  </w:style>
  <w:style w:type="paragraph" w:customStyle="1" w:styleId="LEATable">
    <w:name w:val="LEA Table"/>
    <w:pPr>
      <w:suppressAutoHyphens/>
    </w:pPr>
    <w:rPr>
      <w:rFonts w:ascii="Times New Roman" w:hAnsi="Times New Roman"/>
      <w:sz w:val="24"/>
      <w:szCs w:val="24"/>
      <w:lang w:val="en-US" w:eastAsia="zh-CN" w:bidi="hi-IN"/>
    </w:rPr>
  </w:style>
  <w:style w:type="table" w:styleId="af1">
    <w:name w:val="Table Grid"/>
    <w:basedOn w:val="a1"/>
    <w:uiPriority w:val="39"/>
    <w:rsid w:val="002314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Unresolved Mention"/>
    <w:uiPriority w:val="99"/>
    <w:semiHidden/>
    <w:unhideWhenUsed/>
    <w:rsid w:val="00F71C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498886">
      <w:bodyDiv w:val="1"/>
      <w:marLeft w:val="0"/>
      <w:marRight w:val="0"/>
      <w:marTop w:val="0"/>
      <w:marBottom w:val="0"/>
      <w:divBdr>
        <w:top w:val="none" w:sz="0" w:space="0" w:color="auto"/>
        <w:left w:val="none" w:sz="0" w:space="0" w:color="auto"/>
        <w:bottom w:val="none" w:sz="0" w:space="0" w:color="auto"/>
        <w:right w:val="none" w:sz="0" w:space="0" w:color="auto"/>
      </w:divBdr>
    </w:div>
    <w:div w:id="233978015">
      <w:bodyDiv w:val="1"/>
      <w:marLeft w:val="0"/>
      <w:marRight w:val="0"/>
      <w:marTop w:val="0"/>
      <w:marBottom w:val="0"/>
      <w:divBdr>
        <w:top w:val="none" w:sz="0" w:space="0" w:color="auto"/>
        <w:left w:val="none" w:sz="0" w:space="0" w:color="auto"/>
        <w:bottom w:val="none" w:sz="0" w:space="0" w:color="auto"/>
        <w:right w:val="none" w:sz="0" w:space="0" w:color="auto"/>
      </w:divBdr>
    </w:div>
    <w:div w:id="322658809">
      <w:bodyDiv w:val="1"/>
      <w:marLeft w:val="0"/>
      <w:marRight w:val="0"/>
      <w:marTop w:val="0"/>
      <w:marBottom w:val="0"/>
      <w:divBdr>
        <w:top w:val="none" w:sz="0" w:space="0" w:color="auto"/>
        <w:left w:val="none" w:sz="0" w:space="0" w:color="auto"/>
        <w:bottom w:val="none" w:sz="0" w:space="0" w:color="auto"/>
        <w:right w:val="none" w:sz="0" w:space="0" w:color="auto"/>
      </w:divBdr>
    </w:div>
    <w:div w:id="340855285">
      <w:bodyDiv w:val="1"/>
      <w:marLeft w:val="0"/>
      <w:marRight w:val="0"/>
      <w:marTop w:val="0"/>
      <w:marBottom w:val="0"/>
      <w:divBdr>
        <w:top w:val="none" w:sz="0" w:space="0" w:color="auto"/>
        <w:left w:val="none" w:sz="0" w:space="0" w:color="auto"/>
        <w:bottom w:val="none" w:sz="0" w:space="0" w:color="auto"/>
        <w:right w:val="none" w:sz="0" w:space="0" w:color="auto"/>
      </w:divBdr>
    </w:div>
    <w:div w:id="400299240">
      <w:bodyDiv w:val="1"/>
      <w:marLeft w:val="0"/>
      <w:marRight w:val="0"/>
      <w:marTop w:val="0"/>
      <w:marBottom w:val="0"/>
      <w:divBdr>
        <w:top w:val="none" w:sz="0" w:space="0" w:color="auto"/>
        <w:left w:val="none" w:sz="0" w:space="0" w:color="auto"/>
        <w:bottom w:val="none" w:sz="0" w:space="0" w:color="auto"/>
        <w:right w:val="none" w:sz="0" w:space="0" w:color="auto"/>
      </w:divBdr>
    </w:div>
    <w:div w:id="701367915">
      <w:bodyDiv w:val="1"/>
      <w:marLeft w:val="0"/>
      <w:marRight w:val="0"/>
      <w:marTop w:val="0"/>
      <w:marBottom w:val="0"/>
      <w:divBdr>
        <w:top w:val="none" w:sz="0" w:space="0" w:color="auto"/>
        <w:left w:val="none" w:sz="0" w:space="0" w:color="auto"/>
        <w:bottom w:val="none" w:sz="0" w:space="0" w:color="auto"/>
        <w:right w:val="none" w:sz="0" w:space="0" w:color="auto"/>
      </w:divBdr>
    </w:div>
    <w:div w:id="851455821">
      <w:bodyDiv w:val="1"/>
      <w:marLeft w:val="0"/>
      <w:marRight w:val="0"/>
      <w:marTop w:val="0"/>
      <w:marBottom w:val="0"/>
      <w:divBdr>
        <w:top w:val="none" w:sz="0" w:space="0" w:color="auto"/>
        <w:left w:val="none" w:sz="0" w:space="0" w:color="auto"/>
        <w:bottom w:val="none" w:sz="0" w:space="0" w:color="auto"/>
        <w:right w:val="none" w:sz="0" w:space="0" w:color="auto"/>
      </w:divBdr>
    </w:div>
    <w:div w:id="973945959">
      <w:bodyDiv w:val="1"/>
      <w:marLeft w:val="0"/>
      <w:marRight w:val="0"/>
      <w:marTop w:val="0"/>
      <w:marBottom w:val="0"/>
      <w:divBdr>
        <w:top w:val="none" w:sz="0" w:space="0" w:color="auto"/>
        <w:left w:val="none" w:sz="0" w:space="0" w:color="auto"/>
        <w:bottom w:val="none" w:sz="0" w:space="0" w:color="auto"/>
        <w:right w:val="none" w:sz="0" w:space="0" w:color="auto"/>
      </w:divBdr>
    </w:div>
    <w:div w:id="1011026898">
      <w:bodyDiv w:val="1"/>
      <w:marLeft w:val="0"/>
      <w:marRight w:val="0"/>
      <w:marTop w:val="0"/>
      <w:marBottom w:val="0"/>
      <w:divBdr>
        <w:top w:val="none" w:sz="0" w:space="0" w:color="auto"/>
        <w:left w:val="none" w:sz="0" w:space="0" w:color="auto"/>
        <w:bottom w:val="none" w:sz="0" w:space="0" w:color="auto"/>
        <w:right w:val="none" w:sz="0" w:space="0" w:color="auto"/>
      </w:divBdr>
    </w:div>
    <w:div w:id="1031223369">
      <w:bodyDiv w:val="1"/>
      <w:marLeft w:val="0"/>
      <w:marRight w:val="0"/>
      <w:marTop w:val="0"/>
      <w:marBottom w:val="0"/>
      <w:divBdr>
        <w:top w:val="none" w:sz="0" w:space="0" w:color="auto"/>
        <w:left w:val="none" w:sz="0" w:space="0" w:color="auto"/>
        <w:bottom w:val="none" w:sz="0" w:space="0" w:color="auto"/>
        <w:right w:val="none" w:sz="0" w:space="0" w:color="auto"/>
      </w:divBdr>
    </w:div>
    <w:div w:id="1048803326">
      <w:bodyDiv w:val="1"/>
      <w:marLeft w:val="0"/>
      <w:marRight w:val="0"/>
      <w:marTop w:val="0"/>
      <w:marBottom w:val="0"/>
      <w:divBdr>
        <w:top w:val="none" w:sz="0" w:space="0" w:color="auto"/>
        <w:left w:val="none" w:sz="0" w:space="0" w:color="auto"/>
        <w:bottom w:val="none" w:sz="0" w:space="0" w:color="auto"/>
        <w:right w:val="none" w:sz="0" w:space="0" w:color="auto"/>
      </w:divBdr>
    </w:div>
    <w:div w:id="1275558557">
      <w:bodyDiv w:val="1"/>
      <w:marLeft w:val="0"/>
      <w:marRight w:val="0"/>
      <w:marTop w:val="0"/>
      <w:marBottom w:val="0"/>
      <w:divBdr>
        <w:top w:val="none" w:sz="0" w:space="0" w:color="auto"/>
        <w:left w:val="none" w:sz="0" w:space="0" w:color="auto"/>
        <w:bottom w:val="none" w:sz="0" w:space="0" w:color="auto"/>
        <w:right w:val="none" w:sz="0" w:space="0" w:color="auto"/>
      </w:divBdr>
    </w:div>
    <w:div w:id="1351562911">
      <w:bodyDiv w:val="1"/>
      <w:marLeft w:val="0"/>
      <w:marRight w:val="0"/>
      <w:marTop w:val="0"/>
      <w:marBottom w:val="0"/>
      <w:divBdr>
        <w:top w:val="none" w:sz="0" w:space="0" w:color="auto"/>
        <w:left w:val="none" w:sz="0" w:space="0" w:color="auto"/>
        <w:bottom w:val="none" w:sz="0" w:space="0" w:color="auto"/>
        <w:right w:val="none" w:sz="0" w:space="0" w:color="auto"/>
      </w:divBdr>
    </w:div>
    <w:div w:id="1392464174">
      <w:bodyDiv w:val="1"/>
      <w:marLeft w:val="0"/>
      <w:marRight w:val="0"/>
      <w:marTop w:val="0"/>
      <w:marBottom w:val="0"/>
      <w:divBdr>
        <w:top w:val="none" w:sz="0" w:space="0" w:color="auto"/>
        <w:left w:val="none" w:sz="0" w:space="0" w:color="auto"/>
        <w:bottom w:val="none" w:sz="0" w:space="0" w:color="auto"/>
        <w:right w:val="none" w:sz="0" w:space="0" w:color="auto"/>
      </w:divBdr>
    </w:div>
    <w:div w:id="1606183251">
      <w:bodyDiv w:val="1"/>
      <w:marLeft w:val="0"/>
      <w:marRight w:val="0"/>
      <w:marTop w:val="0"/>
      <w:marBottom w:val="0"/>
      <w:divBdr>
        <w:top w:val="none" w:sz="0" w:space="0" w:color="auto"/>
        <w:left w:val="none" w:sz="0" w:space="0" w:color="auto"/>
        <w:bottom w:val="none" w:sz="0" w:space="0" w:color="auto"/>
        <w:right w:val="none" w:sz="0" w:space="0" w:color="auto"/>
      </w:divBdr>
    </w:div>
    <w:div w:id="1760636077">
      <w:bodyDiv w:val="1"/>
      <w:marLeft w:val="0"/>
      <w:marRight w:val="0"/>
      <w:marTop w:val="0"/>
      <w:marBottom w:val="0"/>
      <w:divBdr>
        <w:top w:val="none" w:sz="0" w:space="0" w:color="auto"/>
        <w:left w:val="none" w:sz="0" w:space="0" w:color="auto"/>
        <w:bottom w:val="none" w:sz="0" w:space="0" w:color="auto"/>
        <w:right w:val="none" w:sz="0" w:space="0" w:color="auto"/>
      </w:divBdr>
    </w:div>
    <w:div w:id="1871841374">
      <w:bodyDiv w:val="1"/>
      <w:marLeft w:val="0"/>
      <w:marRight w:val="0"/>
      <w:marTop w:val="0"/>
      <w:marBottom w:val="0"/>
      <w:divBdr>
        <w:top w:val="none" w:sz="0" w:space="0" w:color="auto"/>
        <w:left w:val="none" w:sz="0" w:space="0" w:color="auto"/>
        <w:bottom w:val="none" w:sz="0" w:space="0" w:color="auto"/>
        <w:right w:val="none" w:sz="0" w:space="0" w:color="auto"/>
      </w:divBdr>
    </w:div>
    <w:div w:id="1887913314">
      <w:bodyDiv w:val="1"/>
      <w:marLeft w:val="0"/>
      <w:marRight w:val="0"/>
      <w:marTop w:val="0"/>
      <w:marBottom w:val="0"/>
      <w:divBdr>
        <w:top w:val="none" w:sz="0" w:space="0" w:color="auto"/>
        <w:left w:val="none" w:sz="0" w:space="0" w:color="auto"/>
        <w:bottom w:val="none" w:sz="0" w:space="0" w:color="auto"/>
        <w:right w:val="none" w:sz="0" w:space="0" w:color="auto"/>
      </w:divBdr>
    </w:div>
    <w:div w:id="1927155177">
      <w:bodyDiv w:val="1"/>
      <w:marLeft w:val="0"/>
      <w:marRight w:val="0"/>
      <w:marTop w:val="0"/>
      <w:marBottom w:val="0"/>
      <w:divBdr>
        <w:top w:val="none" w:sz="0" w:space="0" w:color="auto"/>
        <w:left w:val="none" w:sz="0" w:space="0" w:color="auto"/>
        <w:bottom w:val="none" w:sz="0" w:space="0" w:color="auto"/>
        <w:right w:val="none" w:sz="0" w:space="0" w:color="auto"/>
      </w:divBdr>
    </w:div>
    <w:div w:id="1957635372">
      <w:bodyDiv w:val="1"/>
      <w:marLeft w:val="0"/>
      <w:marRight w:val="0"/>
      <w:marTop w:val="0"/>
      <w:marBottom w:val="0"/>
      <w:divBdr>
        <w:top w:val="none" w:sz="0" w:space="0" w:color="auto"/>
        <w:left w:val="none" w:sz="0" w:space="0" w:color="auto"/>
        <w:bottom w:val="none" w:sz="0" w:space="0" w:color="auto"/>
        <w:right w:val="none" w:sz="0" w:space="0" w:color="auto"/>
      </w:divBdr>
    </w:div>
    <w:div w:id="2057895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6028/NIST.AI.100-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33042/2522-1809-2025-3-191-606-615?utm_source=chatgpt.com" TargetMode="External"/><Relationship Id="rId4" Type="http://schemas.openxmlformats.org/officeDocument/2006/relationships/settings" Target="settings.xml"/><Relationship Id="rId9" Type="http://schemas.openxmlformats.org/officeDocument/2006/relationships/hyperlink" Target="https://doi.org/10.1518/001872095779049543?utm_source=chatgpt.com"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81E59-890D-409D-8DDA-D2CDEDF61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4</Pages>
  <Words>9497</Words>
  <Characters>5414</Characters>
  <Application>Microsoft Office Word</Application>
  <DocSecurity>0</DocSecurity>
  <Lines>45</Lines>
  <Paragraphs>29</Paragraphs>
  <ScaleCrop>false</ScaleCrop>
  <HeadingPairs>
    <vt:vector size="2" baseType="variant">
      <vt:variant>
        <vt:lpstr>Назва</vt:lpstr>
      </vt:variant>
      <vt:variant>
        <vt:i4>1</vt:i4>
      </vt:variant>
    </vt:vector>
  </HeadingPairs>
  <TitlesOfParts>
    <vt:vector size="1" baseType="lpstr">
      <vt:lpstr>Візуальна дезінформація в епоху генеративного штучного інтелекту: ризики, критерії перевірки та наслідки для безпеки</vt:lpstr>
    </vt:vector>
  </TitlesOfParts>
  <Company/>
  <LinksUpToDate>false</LinksUpToDate>
  <CharactersWithSpaces>14882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Візуальна дезінформація в епоху генеративного штучного інтелекту: ризики, критерії перевірки та наслідки для безпеки</dc:title>
  <dc:subject>Litteris et Artibus 2026 (CSE-2026) — український рукопис</dc:subject>
  <dc:creator>Владислав Голомисов; Галина Мигаль</dc:creator>
  <cp:keywords/>
  <dc:description/>
  <cp:lastModifiedBy>Користувач</cp:lastModifiedBy>
  <cp:revision>30</cp:revision>
  <cp:lastPrinted>2010-05-30T12:50:00Z</cp:lastPrinted>
  <dcterms:created xsi:type="dcterms:W3CDTF">2018-09-09T15:16:00Z</dcterms:created>
  <dcterms:modified xsi:type="dcterms:W3CDTF">2026-10-25T10:05:00Z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C4F2D1733EA74FE4A1FBE5C2BA903F8B_12</vt:lpwstr>
  </property>
  <property fmtid="{D5CDD505-2E9C-101B-9397-08002B2CF9AE}" pid="3" name="KSOProductBuildVer">
    <vt:lpwstr>1033-12.2.0.17562</vt:lpwstr>
  </property>
</Properties>
</file>