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B85" w:rsidRPr="0059554D" w:rsidRDefault="002C4B85" w:rsidP="002C4B85">
      <w:pPr>
        <w:autoSpaceDE w:val="0"/>
        <w:autoSpaceDN w:val="0"/>
        <w:adjustRightInd w:val="0"/>
        <w:spacing w:after="0" w:line="360" w:lineRule="auto"/>
        <w:jc w:val="right"/>
        <w:rPr>
          <w:rFonts w:ascii="Times New Roman" w:hAnsi="Times New Roman" w:cs="Times New Roman"/>
          <w:b/>
          <w:i/>
          <w:sz w:val="28"/>
          <w:lang w:val="uk-UA"/>
        </w:rPr>
      </w:pPr>
      <w:r w:rsidRPr="0059554D">
        <w:rPr>
          <w:rFonts w:ascii="Times New Roman" w:hAnsi="Times New Roman" w:cs="Times New Roman"/>
          <w:b/>
          <w:i/>
          <w:sz w:val="28"/>
        </w:rPr>
        <w:t>Shinasak Suwan-achariya</w:t>
      </w:r>
      <w:r w:rsidRPr="0059554D">
        <w:rPr>
          <w:rFonts w:ascii="Times New Roman" w:hAnsi="Times New Roman" w:cs="Times New Roman"/>
          <w:b/>
          <w:i/>
          <w:sz w:val="28"/>
        </w:rPr>
        <w:br/>
        <w:t>Songkhla, Thailand</w:t>
      </w:r>
    </w:p>
    <w:p w:rsidR="002C4B85" w:rsidRDefault="002C4B85" w:rsidP="00F919A5">
      <w:pPr>
        <w:jc w:val="center"/>
        <w:rPr>
          <w:rFonts w:ascii="Times New Roman" w:hAnsi="Times New Roman" w:cs="Times New Roman"/>
          <w:b/>
          <w:bCs/>
          <w:sz w:val="28"/>
        </w:rPr>
      </w:pPr>
    </w:p>
    <w:p w:rsidR="00720900" w:rsidRPr="00F919A5" w:rsidRDefault="00720900" w:rsidP="00F919A5">
      <w:pPr>
        <w:jc w:val="center"/>
        <w:rPr>
          <w:rFonts w:ascii="Times New Roman" w:hAnsi="Times New Roman" w:cs="Times New Roman"/>
          <w:b/>
          <w:bCs/>
          <w:sz w:val="28"/>
        </w:rPr>
      </w:pPr>
      <w:r w:rsidRPr="00F919A5">
        <w:rPr>
          <w:rFonts w:ascii="Times New Roman" w:hAnsi="Times New Roman" w:cs="Times New Roman"/>
          <w:b/>
          <w:bCs/>
          <w:sz w:val="28"/>
        </w:rPr>
        <w:t>D</w:t>
      </w:r>
      <w:r w:rsidR="0059554D">
        <w:rPr>
          <w:rFonts w:ascii="Times New Roman" w:hAnsi="Times New Roman" w:cs="Times New Roman"/>
          <w:b/>
          <w:bCs/>
          <w:sz w:val="28"/>
        </w:rPr>
        <w:t xml:space="preserve">EVELOPING COMPETENCY – BASED LEARNING INNOVATION THROUGH THE </w:t>
      </w:r>
      <w:r w:rsidRPr="00F919A5">
        <w:rPr>
          <w:rFonts w:ascii="Times New Roman" w:hAnsi="Times New Roman" w:cs="Times New Roman"/>
          <w:b/>
          <w:bCs/>
          <w:sz w:val="28"/>
        </w:rPr>
        <w:t>OBE–SoTL F</w:t>
      </w:r>
      <w:r w:rsidR="0059554D">
        <w:rPr>
          <w:rFonts w:ascii="Times New Roman" w:hAnsi="Times New Roman" w:cs="Times New Roman"/>
          <w:b/>
          <w:bCs/>
          <w:sz w:val="28"/>
        </w:rPr>
        <w:t>RAMEWORK</w:t>
      </w:r>
      <w:r w:rsidRPr="00F919A5">
        <w:rPr>
          <w:rFonts w:ascii="Times New Roman" w:hAnsi="Times New Roman" w:cs="Times New Roman"/>
          <w:b/>
          <w:bCs/>
          <w:sz w:val="28"/>
        </w:rPr>
        <w:t>: A C</w:t>
      </w:r>
      <w:r w:rsidR="0059554D">
        <w:rPr>
          <w:rFonts w:ascii="Times New Roman" w:hAnsi="Times New Roman" w:cs="Times New Roman"/>
          <w:b/>
          <w:bCs/>
          <w:sz w:val="28"/>
        </w:rPr>
        <w:t>ASE STUDY OF THE</w:t>
      </w:r>
      <w:r w:rsidRPr="00F919A5">
        <w:rPr>
          <w:rFonts w:ascii="Times New Roman" w:hAnsi="Times New Roman" w:cs="Times New Roman"/>
          <w:b/>
          <w:bCs/>
          <w:sz w:val="28"/>
        </w:rPr>
        <w:t xml:space="preserve"> F</w:t>
      </w:r>
      <w:r w:rsidR="0059554D">
        <w:rPr>
          <w:rFonts w:ascii="Times New Roman" w:hAnsi="Times New Roman" w:cs="Times New Roman"/>
          <w:b/>
          <w:bCs/>
          <w:sz w:val="28"/>
        </w:rPr>
        <w:t xml:space="preserve">INANCIAL MODELING WORKSHOP IN THE MODERN MANAGEMENT CURRICULUM </w:t>
      </w:r>
    </w:p>
    <w:p w:rsidR="00720900" w:rsidRPr="00F919A5" w:rsidRDefault="00720900" w:rsidP="00F919A5">
      <w:pPr>
        <w:spacing w:line="360" w:lineRule="auto"/>
        <w:rPr>
          <w:rFonts w:ascii="Times New Roman" w:hAnsi="Times New Roman" w:cs="Times New Roman"/>
          <w:sz w:val="28"/>
        </w:rPr>
      </w:pPr>
    </w:p>
    <w:p w:rsidR="00720900" w:rsidRPr="00F919A5" w:rsidRDefault="00720900" w:rsidP="001376D2">
      <w:pPr>
        <w:spacing w:line="360" w:lineRule="auto"/>
        <w:ind w:firstLine="567"/>
        <w:jc w:val="both"/>
        <w:rPr>
          <w:rFonts w:ascii="Times New Roman" w:hAnsi="Times New Roman" w:cs="Times New Roman"/>
          <w:b/>
          <w:bCs/>
          <w:sz w:val="28"/>
        </w:rPr>
      </w:pPr>
      <w:r w:rsidRPr="00F919A5">
        <w:rPr>
          <w:rFonts w:ascii="Times New Roman" w:hAnsi="Times New Roman" w:cs="Times New Roman"/>
          <w:b/>
          <w:bCs/>
          <w:sz w:val="28"/>
        </w:rPr>
        <w:t>Abstract</w:t>
      </w:r>
    </w:p>
    <w:p w:rsidR="00720900" w:rsidRPr="00F919A5" w:rsidRDefault="00720900" w:rsidP="001376D2">
      <w:pPr>
        <w:spacing w:line="360" w:lineRule="auto"/>
        <w:ind w:firstLine="567"/>
        <w:jc w:val="both"/>
        <w:rPr>
          <w:rFonts w:ascii="Times New Roman" w:hAnsi="Times New Roman" w:cs="Times New Roman"/>
          <w:sz w:val="28"/>
        </w:rPr>
      </w:pPr>
      <w:r w:rsidRPr="00F919A5">
        <w:rPr>
          <w:rFonts w:ascii="Times New Roman" w:hAnsi="Times New Roman" w:cs="Times New Roman"/>
          <w:sz w:val="28"/>
        </w:rPr>
        <w:t xml:space="preserve">This study aims to develop a competency-based learning innovation for the course </w:t>
      </w:r>
      <w:r w:rsidRPr="00F919A5">
        <w:rPr>
          <w:rFonts w:ascii="Times New Roman" w:hAnsi="Times New Roman" w:cs="Times New Roman"/>
          <w:i/>
          <w:iCs/>
          <w:sz w:val="28"/>
        </w:rPr>
        <w:t>Data Analysis for Management</w:t>
      </w:r>
      <w:r w:rsidRPr="00F919A5">
        <w:rPr>
          <w:rFonts w:ascii="Times New Roman" w:hAnsi="Times New Roman" w:cs="Times New Roman"/>
          <w:sz w:val="28"/>
        </w:rPr>
        <w:t xml:space="preserve"> under the Modern Management Curriculum, using the frameworks of Outcome-Based Education (OBE) and Scholarship of Teaching and Learning (SoTL). The project focuses on shifting student learning from mechanical to contextual understanding through the design of a </w:t>
      </w:r>
      <w:r w:rsidRPr="00F919A5">
        <w:rPr>
          <w:rFonts w:ascii="Times New Roman" w:hAnsi="Times New Roman" w:cs="Times New Roman"/>
          <w:i/>
          <w:iCs/>
          <w:sz w:val="28"/>
        </w:rPr>
        <w:t>Financial Modeling Workshop</w:t>
      </w:r>
      <w:r w:rsidRPr="00F919A5">
        <w:rPr>
          <w:rFonts w:ascii="Times New Roman" w:hAnsi="Times New Roman" w:cs="Times New Roman"/>
          <w:sz w:val="28"/>
        </w:rPr>
        <w:t xml:space="preserve"> integrating Active Learning and the Flipped Classroom approach. The findings revealed significant improvement in students’ analytical reasoning and strategic interpretation competencies. The study demonstrates the potential of </w:t>
      </w:r>
      <w:r w:rsidRPr="00F919A5">
        <w:rPr>
          <w:rFonts w:ascii="Times New Roman" w:hAnsi="Times New Roman" w:cs="Times New Roman"/>
          <w:i/>
          <w:iCs/>
          <w:sz w:val="28"/>
        </w:rPr>
        <w:t>Cognitive Design Pedagogy</w:t>
      </w:r>
      <w:r w:rsidRPr="00F919A5">
        <w:rPr>
          <w:rFonts w:ascii="Times New Roman" w:hAnsi="Times New Roman" w:cs="Times New Roman"/>
          <w:sz w:val="28"/>
        </w:rPr>
        <w:t>—teaching by designing the thinking process—to create sustainable, deep learning outcomes in business education.</w:t>
      </w:r>
    </w:p>
    <w:p w:rsidR="00720900" w:rsidRPr="00F919A5" w:rsidRDefault="00720900" w:rsidP="001376D2">
      <w:pPr>
        <w:spacing w:line="360" w:lineRule="auto"/>
        <w:ind w:firstLine="567"/>
        <w:jc w:val="both"/>
        <w:rPr>
          <w:rFonts w:ascii="Times New Roman" w:hAnsi="Times New Roman" w:cs="Times New Roman"/>
          <w:sz w:val="28"/>
        </w:rPr>
      </w:pPr>
      <w:r w:rsidRPr="00F919A5">
        <w:rPr>
          <w:rFonts w:ascii="Times New Roman" w:hAnsi="Times New Roman" w:cs="Times New Roman"/>
          <w:b/>
          <w:bCs/>
          <w:sz w:val="28"/>
        </w:rPr>
        <w:t>Keywords:</w:t>
      </w:r>
      <w:r w:rsidRPr="00F919A5">
        <w:rPr>
          <w:rFonts w:ascii="Times New Roman" w:hAnsi="Times New Roman" w:cs="Times New Roman"/>
          <w:sz w:val="28"/>
        </w:rPr>
        <w:t xml:space="preserve"> Outcome-Based Education (OBE); Active Learning; SoTL; Financial Modeling; Modern Management Curriculum</w:t>
      </w:r>
    </w:p>
    <w:p w:rsidR="00720900" w:rsidRPr="00F919A5" w:rsidRDefault="00720900" w:rsidP="001376D2">
      <w:pPr>
        <w:spacing w:line="360" w:lineRule="auto"/>
        <w:ind w:firstLine="567"/>
        <w:jc w:val="both"/>
        <w:rPr>
          <w:rFonts w:ascii="Times New Roman" w:hAnsi="Times New Roman" w:cs="Times New Roman"/>
          <w:b/>
          <w:bCs/>
          <w:sz w:val="28"/>
        </w:rPr>
      </w:pPr>
      <w:r w:rsidRPr="00F919A5">
        <w:rPr>
          <w:rFonts w:ascii="Times New Roman" w:hAnsi="Times New Roman" w:cs="Times New Roman"/>
          <w:b/>
          <w:bCs/>
          <w:sz w:val="28"/>
        </w:rPr>
        <w:t>1. Introduction and Conceptual Background</w:t>
      </w:r>
    </w:p>
    <w:p w:rsidR="00720900" w:rsidRPr="00F919A5" w:rsidRDefault="00720900" w:rsidP="001376D2">
      <w:pPr>
        <w:spacing w:line="360" w:lineRule="auto"/>
        <w:ind w:firstLine="567"/>
        <w:jc w:val="both"/>
        <w:rPr>
          <w:rFonts w:ascii="Times New Roman" w:hAnsi="Times New Roman" w:cs="Times New Roman"/>
          <w:sz w:val="28"/>
        </w:rPr>
      </w:pPr>
      <w:r w:rsidRPr="00F919A5">
        <w:rPr>
          <w:rFonts w:ascii="Times New Roman" w:hAnsi="Times New Roman" w:cs="Times New Roman"/>
          <w:sz w:val="28"/>
        </w:rPr>
        <w:t xml:space="preserve">The course </w:t>
      </w:r>
      <w:r w:rsidRPr="00F919A5">
        <w:rPr>
          <w:rFonts w:ascii="Times New Roman" w:hAnsi="Times New Roman" w:cs="Times New Roman"/>
          <w:i/>
          <w:iCs/>
          <w:sz w:val="28"/>
        </w:rPr>
        <w:t>Data Analysis for Management</w:t>
      </w:r>
      <w:r w:rsidRPr="00F919A5">
        <w:rPr>
          <w:rFonts w:ascii="Times New Roman" w:hAnsi="Times New Roman" w:cs="Times New Roman"/>
          <w:sz w:val="28"/>
        </w:rPr>
        <w:t xml:space="preserve"> aims to develop students’ ability to interpret and use data for decision-making. However, many students without economics or business backgrounds tend to memorize formulas without </w:t>
      </w:r>
      <w:r w:rsidRPr="00F919A5">
        <w:rPr>
          <w:rFonts w:ascii="Times New Roman" w:hAnsi="Times New Roman" w:cs="Times New Roman"/>
          <w:sz w:val="28"/>
        </w:rPr>
        <w:lastRenderedPageBreak/>
        <w:t>understanding business contexts. This reflects a gap between procedural knowledge and analytical competence.</w:t>
      </w:r>
    </w:p>
    <w:p w:rsidR="00720900" w:rsidRPr="00F919A5" w:rsidRDefault="00720900" w:rsidP="001376D2">
      <w:pPr>
        <w:spacing w:line="360" w:lineRule="auto"/>
        <w:ind w:firstLine="567"/>
        <w:jc w:val="both"/>
        <w:rPr>
          <w:rFonts w:ascii="Times New Roman" w:hAnsi="Times New Roman" w:cs="Times New Roman"/>
          <w:sz w:val="28"/>
        </w:rPr>
      </w:pPr>
      <w:r w:rsidRPr="00F919A5">
        <w:rPr>
          <w:rFonts w:ascii="Times New Roman" w:hAnsi="Times New Roman" w:cs="Times New Roman"/>
          <w:sz w:val="28"/>
        </w:rPr>
        <w:t xml:space="preserve">Outcome-Based Education (OBE) offers a systematic framework for shifting from content delivery to competency development. According to Bonwell and Eison </w:t>
      </w:r>
      <w:r w:rsidR="002A685E">
        <w:rPr>
          <w:rFonts w:ascii="Times New Roman" w:hAnsi="Times New Roman" w:cs="Times New Roman"/>
          <w:sz w:val="28"/>
        </w:rPr>
        <w:t>[</w:t>
      </w:r>
      <w:r w:rsidR="00945A79">
        <w:rPr>
          <w:rFonts w:ascii="Times New Roman" w:hAnsi="Times New Roman" w:cs="Times New Roman"/>
          <w:sz w:val="28"/>
        </w:rPr>
        <w:t>3</w:t>
      </w:r>
      <w:r w:rsidR="002A685E">
        <w:rPr>
          <w:rFonts w:ascii="Times New Roman" w:hAnsi="Times New Roman" w:cs="Times New Roman"/>
          <w:sz w:val="28"/>
        </w:rPr>
        <w:t>]</w:t>
      </w:r>
      <w:r w:rsidRPr="00F919A5">
        <w:rPr>
          <w:rFonts w:ascii="Times New Roman" w:hAnsi="Times New Roman" w:cs="Times New Roman"/>
          <w:sz w:val="28"/>
        </w:rPr>
        <w:t xml:space="preserve">, active learning encourages students to </w:t>
      </w:r>
      <w:r w:rsidRPr="00F919A5">
        <w:rPr>
          <w:rFonts w:ascii="Times New Roman" w:hAnsi="Times New Roman" w:cs="Times New Roman"/>
          <w:i/>
          <w:iCs/>
          <w:sz w:val="28"/>
        </w:rPr>
        <w:t>do more than listen</w:t>
      </w:r>
      <w:r w:rsidRPr="00F919A5">
        <w:rPr>
          <w:rFonts w:ascii="Times New Roman" w:hAnsi="Times New Roman" w:cs="Times New Roman"/>
          <w:sz w:val="28"/>
        </w:rPr>
        <w:t xml:space="preserve">—to write, discuss, and problem-solve. Freeman et al. </w:t>
      </w:r>
      <w:r w:rsidR="00100132">
        <w:rPr>
          <w:rFonts w:ascii="Times New Roman" w:hAnsi="Times New Roman"/>
          <w:sz w:val="28"/>
        </w:rPr>
        <w:t>[</w:t>
      </w:r>
      <w:r w:rsidR="00945A79">
        <w:rPr>
          <w:rFonts w:ascii="Times New Roman" w:hAnsi="Times New Roman"/>
          <w:sz w:val="28"/>
        </w:rPr>
        <w:t>4</w:t>
      </w:r>
      <w:r w:rsidR="00100132">
        <w:rPr>
          <w:rFonts w:ascii="Times New Roman" w:hAnsi="Times New Roman"/>
          <w:sz w:val="28"/>
        </w:rPr>
        <w:t>]</w:t>
      </w:r>
      <w:r w:rsidRPr="00F919A5">
        <w:rPr>
          <w:rFonts w:ascii="Times New Roman" w:hAnsi="Times New Roman" w:cs="Times New Roman"/>
          <w:sz w:val="28"/>
        </w:rPr>
        <w:t xml:space="preserve"> also demonstrated that active engagement significantly improves learning outcomes in quantitative disciplines. Integrating the SoTL framework </w:t>
      </w:r>
      <w:r w:rsidR="00100132">
        <w:rPr>
          <w:rFonts w:ascii="Times New Roman" w:hAnsi="Times New Roman" w:cs="Times New Roman"/>
          <w:sz w:val="28"/>
        </w:rPr>
        <w:t>[</w:t>
      </w:r>
      <w:r w:rsidR="00945A79">
        <w:rPr>
          <w:rFonts w:ascii="Times New Roman" w:hAnsi="Times New Roman" w:cs="Times New Roman"/>
          <w:sz w:val="28"/>
        </w:rPr>
        <w:t>5</w:t>
      </w:r>
      <w:r w:rsidR="00100132">
        <w:rPr>
          <w:rFonts w:ascii="Times New Roman" w:hAnsi="Times New Roman" w:cs="Times New Roman"/>
          <w:sz w:val="28"/>
        </w:rPr>
        <w:t>]</w:t>
      </w:r>
      <w:r w:rsidRPr="00F919A5">
        <w:rPr>
          <w:rFonts w:ascii="Times New Roman" w:hAnsi="Times New Roman" w:cs="Times New Roman"/>
          <w:sz w:val="28"/>
        </w:rPr>
        <w:t xml:space="preserve"> allows educators to become “researchers of their own teaching,” transforming classrooms into laboratories for pedagogical innovation.</w:t>
      </w:r>
    </w:p>
    <w:p w:rsidR="00720900" w:rsidRPr="00F919A5" w:rsidRDefault="00720900" w:rsidP="001376D2">
      <w:pPr>
        <w:spacing w:line="360" w:lineRule="auto"/>
        <w:ind w:firstLine="567"/>
        <w:jc w:val="both"/>
        <w:rPr>
          <w:rFonts w:ascii="Times New Roman" w:hAnsi="Times New Roman" w:cs="Times New Roman"/>
          <w:b/>
          <w:bCs/>
          <w:sz w:val="28"/>
        </w:rPr>
      </w:pPr>
      <w:r w:rsidRPr="00F919A5">
        <w:rPr>
          <w:rFonts w:ascii="Times New Roman" w:hAnsi="Times New Roman" w:cs="Times New Roman"/>
          <w:b/>
          <w:bCs/>
          <w:sz w:val="28"/>
        </w:rPr>
        <w:t>2. Key Findings from the Implementation</w:t>
      </w:r>
    </w:p>
    <w:p w:rsidR="00720900" w:rsidRPr="00F919A5" w:rsidRDefault="00720900" w:rsidP="001376D2">
      <w:pPr>
        <w:spacing w:line="360" w:lineRule="auto"/>
        <w:ind w:firstLine="567"/>
        <w:jc w:val="both"/>
        <w:rPr>
          <w:rFonts w:ascii="Times New Roman" w:hAnsi="Times New Roman" w:cs="Times New Roman"/>
          <w:sz w:val="28"/>
        </w:rPr>
      </w:pPr>
      <w:r w:rsidRPr="00F919A5">
        <w:rPr>
          <w:rFonts w:ascii="Times New Roman" w:hAnsi="Times New Roman" w:cs="Times New Roman"/>
          <w:sz w:val="28"/>
        </w:rPr>
        <w:t xml:space="preserve">The </w:t>
      </w:r>
      <w:r w:rsidRPr="00F919A5">
        <w:rPr>
          <w:rFonts w:ascii="Times New Roman" w:hAnsi="Times New Roman" w:cs="Times New Roman"/>
          <w:i/>
          <w:iCs/>
          <w:sz w:val="28"/>
        </w:rPr>
        <w:t>Financial Modeling Workshop</w:t>
      </w:r>
      <w:r w:rsidRPr="00F919A5">
        <w:rPr>
          <w:rFonts w:ascii="Times New Roman" w:hAnsi="Times New Roman" w:cs="Times New Roman"/>
          <w:sz w:val="28"/>
        </w:rPr>
        <w:t xml:space="preserve"> under the OBE–SoTL framework produced four major outcomes:</w:t>
      </w:r>
    </w:p>
    <w:p w:rsidR="001376D2" w:rsidRPr="001376D2" w:rsidRDefault="00720900" w:rsidP="001376D2">
      <w:pPr>
        <w:numPr>
          <w:ilvl w:val="0"/>
          <w:numId w:val="1"/>
        </w:numPr>
        <w:spacing w:line="360" w:lineRule="auto"/>
        <w:ind w:hanging="153"/>
        <w:jc w:val="both"/>
        <w:rPr>
          <w:rFonts w:ascii="Times New Roman" w:hAnsi="Times New Roman" w:cs="Times New Roman"/>
          <w:sz w:val="28"/>
        </w:rPr>
      </w:pPr>
      <w:r w:rsidRPr="00F919A5">
        <w:rPr>
          <w:rFonts w:ascii="Times New Roman" w:hAnsi="Times New Roman" w:cs="Times New Roman"/>
          <w:b/>
          <w:bCs/>
          <w:sz w:val="28"/>
        </w:rPr>
        <w:t>Competency Learning:</w:t>
      </w:r>
    </w:p>
    <w:p w:rsidR="00720900" w:rsidRPr="00F919A5" w:rsidRDefault="00720900" w:rsidP="001376D2">
      <w:pPr>
        <w:spacing w:line="360" w:lineRule="auto"/>
        <w:ind w:firstLine="567"/>
        <w:jc w:val="both"/>
        <w:rPr>
          <w:rFonts w:ascii="Times New Roman" w:hAnsi="Times New Roman" w:cs="Times New Roman"/>
          <w:sz w:val="28"/>
        </w:rPr>
      </w:pPr>
      <w:r w:rsidRPr="00F919A5">
        <w:rPr>
          <w:rFonts w:ascii="Times New Roman" w:hAnsi="Times New Roman" w:cs="Times New Roman"/>
          <w:sz w:val="28"/>
        </w:rPr>
        <w:t xml:space="preserve">Students classified as “High-Quiz–Low-Final” (23.53%) revealed mechanical learning patterns. After the three-day workshop, rubric scores improved from </w:t>
      </w:r>
      <w:r w:rsidRPr="00F919A5">
        <w:rPr>
          <w:rFonts w:ascii="Times New Roman" w:hAnsi="Times New Roman" w:cs="Times New Roman"/>
          <w:i/>
          <w:iCs/>
          <w:sz w:val="28"/>
        </w:rPr>
        <w:t>Developing</w:t>
      </w:r>
      <w:r w:rsidRPr="00F919A5">
        <w:rPr>
          <w:rFonts w:ascii="Times New Roman" w:hAnsi="Times New Roman" w:cs="Times New Roman"/>
          <w:sz w:val="28"/>
        </w:rPr>
        <w:t xml:space="preserve"> to </w:t>
      </w:r>
      <w:r w:rsidRPr="00F919A5">
        <w:rPr>
          <w:rFonts w:ascii="Times New Roman" w:hAnsi="Times New Roman" w:cs="Times New Roman"/>
          <w:i/>
          <w:iCs/>
          <w:sz w:val="28"/>
        </w:rPr>
        <w:t>Proficient</w:t>
      </w:r>
      <w:r w:rsidRPr="00F919A5">
        <w:rPr>
          <w:rFonts w:ascii="Times New Roman" w:hAnsi="Times New Roman" w:cs="Times New Roman"/>
          <w:sz w:val="28"/>
        </w:rPr>
        <w:t xml:space="preserve">, especially in </w:t>
      </w:r>
      <w:r w:rsidRPr="00F919A5">
        <w:rPr>
          <w:rFonts w:ascii="Times New Roman" w:hAnsi="Times New Roman" w:cs="Times New Roman"/>
          <w:i/>
          <w:iCs/>
          <w:sz w:val="28"/>
        </w:rPr>
        <w:t>Defend Reasoning</w:t>
      </w:r>
      <w:r w:rsidRPr="00F919A5">
        <w:rPr>
          <w:rFonts w:ascii="Times New Roman" w:hAnsi="Times New Roman" w:cs="Times New Roman"/>
          <w:sz w:val="28"/>
        </w:rPr>
        <w:t xml:space="preserve"> and </w:t>
      </w:r>
      <w:r w:rsidRPr="00F919A5">
        <w:rPr>
          <w:rFonts w:ascii="Times New Roman" w:hAnsi="Times New Roman" w:cs="Times New Roman"/>
          <w:i/>
          <w:iCs/>
          <w:sz w:val="28"/>
        </w:rPr>
        <w:t>Business Interpretation</w:t>
      </w:r>
      <w:r w:rsidRPr="00F919A5">
        <w:rPr>
          <w:rFonts w:ascii="Times New Roman" w:hAnsi="Times New Roman" w:cs="Times New Roman"/>
          <w:sz w:val="28"/>
        </w:rPr>
        <w:t>.</w:t>
      </w:r>
    </w:p>
    <w:p w:rsidR="001376D2" w:rsidRPr="001376D2" w:rsidRDefault="00720900" w:rsidP="001376D2">
      <w:pPr>
        <w:numPr>
          <w:ilvl w:val="0"/>
          <w:numId w:val="1"/>
        </w:numPr>
        <w:spacing w:line="360" w:lineRule="auto"/>
        <w:ind w:hanging="153"/>
        <w:jc w:val="both"/>
        <w:rPr>
          <w:rFonts w:ascii="Times New Roman" w:hAnsi="Times New Roman" w:cs="Times New Roman"/>
          <w:sz w:val="28"/>
        </w:rPr>
      </w:pPr>
      <w:r w:rsidRPr="00F919A5">
        <w:rPr>
          <w:rFonts w:ascii="Times New Roman" w:hAnsi="Times New Roman" w:cs="Times New Roman"/>
          <w:b/>
          <w:bCs/>
          <w:sz w:val="28"/>
        </w:rPr>
        <w:t>Active and Flipped Learning:</w:t>
      </w:r>
    </w:p>
    <w:p w:rsidR="00720900" w:rsidRPr="00F919A5" w:rsidRDefault="00720900" w:rsidP="001376D2">
      <w:pPr>
        <w:spacing w:line="360" w:lineRule="auto"/>
        <w:ind w:firstLine="567"/>
        <w:jc w:val="both"/>
        <w:rPr>
          <w:rFonts w:ascii="Times New Roman" w:hAnsi="Times New Roman" w:cs="Times New Roman"/>
          <w:sz w:val="28"/>
        </w:rPr>
      </w:pPr>
      <w:r w:rsidRPr="00F919A5">
        <w:rPr>
          <w:rFonts w:ascii="Times New Roman" w:hAnsi="Times New Roman" w:cs="Times New Roman"/>
          <w:sz w:val="28"/>
        </w:rPr>
        <w:t xml:space="preserve">The flipped model allowed in-class time for analysis, scenario building, and simulation rather than listening. Think-Aloud and Peer-Explanation activities increased engagement, supporting Bishop &amp; Verleger </w:t>
      </w:r>
      <w:r w:rsidR="00100132">
        <w:rPr>
          <w:rFonts w:ascii="Times New Roman" w:hAnsi="Times New Roman" w:cs="Times New Roman"/>
          <w:sz w:val="28"/>
        </w:rPr>
        <w:t>[</w:t>
      </w:r>
      <w:r w:rsidR="006400C3">
        <w:rPr>
          <w:rFonts w:ascii="Times New Roman" w:hAnsi="Times New Roman" w:cs="Times New Roman"/>
          <w:sz w:val="28"/>
        </w:rPr>
        <w:t>2</w:t>
      </w:r>
      <w:r w:rsidR="00100132">
        <w:rPr>
          <w:rFonts w:ascii="Times New Roman" w:hAnsi="Times New Roman" w:cs="Times New Roman"/>
          <w:sz w:val="28"/>
        </w:rPr>
        <w:t>]</w:t>
      </w:r>
      <w:r w:rsidRPr="00F919A5">
        <w:rPr>
          <w:rFonts w:ascii="Times New Roman" w:hAnsi="Times New Roman" w:cs="Times New Roman"/>
          <w:sz w:val="28"/>
        </w:rPr>
        <w:t xml:space="preserve"> and Kuh </w:t>
      </w:r>
      <w:r w:rsidR="00100132">
        <w:rPr>
          <w:rFonts w:ascii="Times New Roman" w:hAnsi="Times New Roman" w:cs="Times New Roman"/>
          <w:sz w:val="28"/>
        </w:rPr>
        <w:t>[</w:t>
      </w:r>
      <w:r w:rsidR="00945A79">
        <w:rPr>
          <w:rFonts w:ascii="Times New Roman" w:hAnsi="Times New Roman" w:cs="Times New Roman"/>
          <w:sz w:val="28"/>
        </w:rPr>
        <w:t>7</w:t>
      </w:r>
      <w:r w:rsidR="00100132">
        <w:rPr>
          <w:rFonts w:ascii="Times New Roman" w:hAnsi="Times New Roman" w:cs="Times New Roman"/>
          <w:sz w:val="28"/>
        </w:rPr>
        <w:t>]</w:t>
      </w:r>
      <w:r w:rsidRPr="00F919A5">
        <w:rPr>
          <w:rFonts w:ascii="Times New Roman" w:hAnsi="Times New Roman" w:cs="Times New Roman"/>
          <w:sz w:val="28"/>
        </w:rPr>
        <w:t>, who identify these as High-Impact Educational Practices (HIPs).</w:t>
      </w:r>
    </w:p>
    <w:p w:rsidR="001376D2" w:rsidRDefault="00720900" w:rsidP="001376D2">
      <w:pPr>
        <w:numPr>
          <w:ilvl w:val="0"/>
          <w:numId w:val="1"/>
        </w:numPr>
        <w:spacing w:line="360" w:lineRule="auto"/>
        <w:ind w:hanging="153"/>
        <w:jc w:val="both"/>
        <w:rPr>
          <w:rFonts w:ascii="Times New Roman" w:hAnsi="Times New Roman" w:cs="Times New Roman"/>
          <w:sz w:val="28"/>
        </w:rPr>
      </w:pPr>
      <w:r w:rsidRPr="00F919A5">
        <w:rPr>
          <w:rFonts w:ascii="Times New Roman" w:hAnsi="Times New Roman" w:cs="Times New Roman"/>
          <w:b/>
          <w:bCs/>
          <w:sz w:val="28"/>
        </w:rPr>
        <w:t>SoTL and Reflective Practice:</w:t>
      </w:r>
    </w:p>
    <w:p w:rsidR="00720900" w:rsidRPr="001376D2" w:rsidRDefault="00720900" w:rsidP="001376D2">
      <w:pPr>
        <w:spacing w:line="360" w:lineRule="auto"/>
        <w:ind w:firstLine="567"/>
        <w:jc w:val="both"/>
        <w:rPr>
          <w:rFonts w:ascii="Times New Roman" w:hAnsi="Times New Roman" w:cs="Times New Roman"/>
          <w:sz w:val="28"/>
        </w:rPr>
      </w:pPr>
      <w:r w:rsidRPr="001376D2">
        <w:rPr>
          <w:rFonts w:ascii="Times New Roman" w:hAnsi="Times New Roman" w:cs="Times New Roman"/>
          <w:sz w:val="28"/>
        </w:rPr>
        <w:lastRenderedPageBreak/>
        <w:t>The use of individual Coaching Logs and a Learning Dashboard enabled instructors to track student growth at the competency level, transforming evaluation into evidence-based teaching improvement.</w:t>
      </w:r>
    </w:p>
    <w:p w:rsidR="001376D2" w:rsidRPr="001376D2" w:rsidRDefault="00720900" w:rsidP="001376D2">
      <w:pPr>
        <w:numPr>
          <w:ilvl w:val="0"/>
          <w:numId w:val="1"/>
        </w:numPr>
        <w:tabs>
          <w:tab w:val="clear" w:pos="720"/>
          <w:tab w:val="num" w:pos="709"/>
        </w:tabs>
        <w:spacing w:line="360" w:lineRule="auto"/>
        <w:ind w:hanging="153"/>
        <w:rPr>
          <w:rFonts w:ascii="Times New Roman" w:hAnsi="Times New Roman" w:cs="Times New Roman"/>
          <w:sz w:val="28"/>
        </w:rPr>
      </w:pPr>
      <w:r w:rsidRPr="00F919A5">
        <w:rPr>
          <w:rFonts w:ascii="Times New Roman" w:hAnsi="Times New Roman" w:cs="Times New Roman"/>
          <w:b/>
          <w:bCs/>
          <w:sz w:val="28"/>
        </w:rPr>
        <w:t>Knowledge Asset Creation:</w:t>
      </w:r>
    </w:p>
    <w:p w:rsidR="00720900" w:rsidRPr="00F919A5" w:rsidRDefault="00720900" w:rsidP="001376D2">
      <w:pPr>
        <w:spacing w:line="360" w:lineRule="auto"/>
        <w:ind w:firstLine="567"/>
        <w:jc w:val="both"/>
        <w:rPr>
          <w:rFonts w:ascii="Times New Roman" w:hAnsi="Times New Roman" w:cs="Times New Roman"/>
          <w:sz w:val="28"/>
        </w:rPr>
      </w:pPr>
      <w:r w:rsidRPr="00F919A5">
        <w:rPr>
          <w:rFonts w:ascii="Times New Roman" w:hAnsi="Times New Roman" w:cs="Times New Roman"/>
          <w:sz w:val="28"/>
        </w:rPr>
        <w:t xml:space="preserve">Workshop outcomes were developed into an online module in the TSU MOOCs platform, titled </w:t>
      </w:r>
      <w:r w:rsidRPr="00F919A5">
        <w:rPr>
          <w:rFonts w:ascii="Times New Roman" w:hAnsi="Times New Roman" w:cs="Times New Roman"/>
          <w:i/>
          <w:iCs/>
          <w:sz w:val="28"/>
        </w:rPr>
        <w:t>Scenario Analysis and Valuation for Business Decision-Making</w:t>
      </w:r>
      <w:r w:rsidRPr="00F919A5">
        <w:rPr>
          <w:rFonts w:ascii="Times New Roman" w:hAnsi="Times New Roman" w:cs="Times New Roman"/>
          <w:sz w:val="28"/>
        </w:rPr>
        <w:t>. This transformed classroom innovation into a sustainable SoTL repository for future courses and training programs.</w:t>
      </w:r>
    </w:p>
    <w:p w:rsidR="00720900" w:rsidRPr="00F919A5" w:rsidRDefault="00720900" w:rsidP="001376D2">
      <w:pPr>
        <w:spacing w:line="360" w:lineRule="auto"/>
        <w:ind w:firstLine="567"/>
        <w:jc w:val="both"/>
        <w:rPr>
          <w:rFonts w:ascii="Times New Roman" w:hAnsi="Times New Roman" w:cs="Times New Roman"/>
          <w:b/>
          <w:bCs/>
          <w:sz w:val="28"/>
        </w:rPr>
      </w:pPr>
      <w:r w:rsidRPr="00F919A5">
        <w:rPr>
          <w:rFonts w:ascii="Times New Roman" w:hAnsi="Times New Roman" w:cs="Times New Roman"/>
          <w:b/>
          <w:bCs/>
          <w:sz w:val="28"/>
        </w:rPr>
        <w:t>3. Theoretical Proposition (Tesis)</w:t>
      </w:r>
    </w:p>
    <w:p w:rsidR="00720900" w:rsidRPr="00F919A5" w:rsidRDefault="00720900" w:rsidP="001376D2">
      <w:pPr>
        <w:spacing w:line="360" w:lineRule="auto"/>
        <w:ind w:firstLine="567"/>
        <w:jc w:val="both"/>
        <w:rPr>
          <w:rFonts w:ascii="Times New Roman" w:hAnsi="Times New Roman" w:cs="Times New Roman"/>
          <w:sz w:val="28"/>
        </w:rPr>
      </w:pPr>
      <w:r w:rsidRPr="00F919A5">
        <w:rPr>
          <w:rFonts w:ascii="Times New Roman" w:hAnsi="Times New Roman" w:cs="Times New Roman"/>
          <w:sz w:val="28"/>
        </w:rPr>
        <w:t>“Sustainable analytical competence among management students emerges when learning processes are designed for students to model, reason, and interpret independently—within an OBE framework that integrates Active Learning, Flipped Classroom, and SoTL principles.”</w:t>
      </w:r>
    </w:p>
    <w:p w:rsidR="00720900" w:rsidRPr="00F919A5" w:rsidRDefault="00720900" w:rsidP="001376D2">
      <w:pPr>
        <w:spacing w:line="360" w:lineRule="auto"/>
        <w:ind w:firstLine="567"/>
        <w:jc w:val="both"/>
        <w:rPr>
          <w:rFonts w:ascii="Times New Roman" w:hAnsi="Times New Roman" w:cs="Times New Roman"/>
          <w:sz w:val="28"/>
        </w:rPr>
      </w:pPr>
      <w:r w:rsidRPr="00F919A5">
        <w:rPr>
          <w:rFonts w:ascii="Times New Roman" w:hAnsi="Times New Roman" w:cs="Times New Roman"/>
          <w:sz w:val="28"/>
        </w:rPr>
        <w:t xml:space="preserve">This reflects an epistemological shift from </w:t>
      </w:r>
      <w:r w:rsidRPr="00F919A5">
        <w:rPr>
          <w:rFonts w:ascii="Times New Roman" w:hAnsi="Times New Roman" w:cs="Times New Roman"/>
          <w:i/>
          <w:iCs/>
          <w:sz w:val="28"/>
        </w:rPr>
        <w:t>instructor-centered</w:t>
      </w:r>
      <w:r w:rsidRPr="00F919A5">
        <w:rPr>
          <w:rFonts w:ascii="Times New Roman" w:hAnsi="Times New Roman" w:cs="Times New Roman"/>
          <w:sz w:val="28"/>
        </w:rPr>
        <w:t xml:space="preserve"> to </w:t>
      </w:r>
      <w:r w:rsidRPr="00F919A5">
        <w:rPr>
          <w:rFonts w:ascii="Times New Roman" w:hAnsi="Times New Roman" w:cs="Times New Roman"/>
          <w:i/>
          <w:iCs/>
          <w:sz w:val="28"/>
        </w:rPr>
        <w:t>learning designer-centered</w:t>
      </w:r>
      <w:r w:rsidRPr="00F919A5">
        <w:rPr>
          <w:rFonts w:ascii="Times New Roman" w:hAnsi="Times New Roman" w:cs="Times New Roman"/>
          <w:sz w:val="28"/>
        </w:rPr>
        <w:t xml:space="preserve"> education </w:t>
      </w:r>
      <w:r w:rsidR="006400C3" w:rsidRPr="006400C3">
        <w:rPr>
          <w:rFonts w:ascii="Times New Roman" w:hAnsi="Times New Roman" w:cs="Times New Roman"/>
          <w:sz w:val="28"/>
        </w:rPr>
        <w:t>[1</w:t>
      </w:r>
      <w:r w:rsidR="002A685E" w:rsidRPr="006400C3">
        <w:rPr>
          <w:rFonts w:ascii="Times New Roman" w:hAnsi="Times New Roman" w:cs="Times New Roman"/>
          <w:sz w:val="28"/>
        </w:rPr>
        <w:t>]</w:t>
      </w:r>
      <w:r w:rsidRPr="006400C3">
        <w:rPr>
          <w:rFonts w:ascii="Times New Roman" w:hAnsi="Times New Roman" w:cs="Times New Roman"/>
          <w:sz w:val="28"/>
        </w:rPr>
        <w:t>. K</w:t>
      </w:r>
      <w:r w:rsidRPr="00F919A5">
        <w:rPr>
          <w:rFonts w:ascii="Times New Roman" w:hAnsi="Times New Roman" w:cs="Times New Roman"/>
          <w:sz w:val="28"/>
        </w:rPr>
        <w:t xml:space="preserve">olb </w:t>
      </w:r>
      <w:r w:rsidR="002A685E">
        <w:rPr>
          <w:rFonts w:ascii="Times New Roman" w:hAnsi="Times New Roman" w:cs="Times New Roman"/>
          <w:sz w:val="28"/>
        </w:rPr>
        <w:t>[</w:t>
      </w:r>
      <w:r w:rsidR="00A763B4">
        <w:rPr>
          <w:rFonts w:ascii="Times New Roman" w:hAnsi="Times New Roman" w:cs="Times New Roman"/>
          <w:sz w:val="28"/>
        </w:rPr>
        <w:t>6</w:t>
      </w:r>
      <w:r w:rsidR="002A685E">
        <w:rPr>
          <w:rFonts w:ascii="Times New Roman" w:hAnsi="Times New Roman" w:cs="Times New Roman"/>
          <w:sz w:val="28"/>
        </w:rPr>
        <w:t>]</w:t>
      </w:r>
      <w:r w:rsidRPr="00F919A5">
        <w:rPr>
          <w:rFonts w:ascii="Times New Roman" w:hAnsi="Times New Roman" w:cs="Times New Roman"/>
          <w:sz w:val="28"/>
        </w:rPr>
        <w:t xml:space="preserve"> further supports this through experiential learning theory, which emphasizes reflective cycles of experience, conceptualization, and experimentation as the foundation of systematic thinking.</w:t>
      </w:r>
    </w:p>
    <w:p w:rsidR="00720900" w:rsidRPr="00F919A5" w:rsidRDefault="00720900" w:rsidP="00100132">
      <w:pPr>
        <w:spacing w:line="360" w:lineRule="auto"/>
        <w:ind w:firstLine="567"/>
        <w:jc w:val="both"/>
        <w:rPr>
          <w:rFonts w:ascii="Times New Roman" w:hAnsi="Times New Roman" w:cs="Times New Roman"/>
          <w:b/>
          <w:bCs/>
          <w:sz w:val="28"/>
        </w:rPr>
      </w:pPr>
      <w:r w:rsidRPr="00F919A5">
        <w:rPr>
          <w:rFonts w:ascii="Times New Roman" w:hAnsi="Times New Roman" w:cs="Times New Roman"/>
          <w:b/>
          <w:bCs/>
          <w:sz w:val="28"/>
        </w:rPr>
        <w:t>4. Policy and Pedagogical Implications</w:t>
      </w:r>
    </w:p>
    <w:p w:rsidR="00720900" w:rsidRPr="00F919A5" w:rsidRDefault="00720900" w:rsidP="00100132">
      <w:pPr>
        <w:numPr>
          <w:ilvl w:val="0"/>
          <w:numId w:val="2"/>
        </w:numPr>
        <w:tabs>
          <w:tab w:val="clear" w:pos="720"/>
          <w:tab w:val="num" w:pos="426"/>
        </w:tabs>
        <w:spacing w:line="360" w:lineRule="auto"/>
        <w:ind w:left="0" w:firstLine="567"/>
        <w:jc w:val="both"/>
        <w:rPr>
          <w:rFonts w:ascii="Times New Roman" w:hAnsi="Times New Roman" w:cs="Times New Roman"/>
          <w:sz w:val="28"/>
        </w:rPr>
      </w:pPr>
      <w:r w:rsidRPr="00F919A5">
        <w:rPr>
          <w:rFonts w:ascii="Times New Roman" w:hAnsi="Times New Roman" w:cs="Times New Roman"/>
          <w:sz w:val="28"/>
        </w:rPr>
        <w:t>Integrate Workshop-Based Learning into other management and finance courses.</w:t>
      </w:r>
    </w:p>
    <w:p w:rsidR="00720900" w:rsidRPr="00F919A5" w:rsidRDefault="00720900" w:rsidP="00100132">
      <w:pPr>
        <w:numPr>
          <w:ilvl w:val="0"/>
          <w:numId w:val="2"/>
        </w:numPr>
        <w:tabs>
          <w:tab w:val="clear" w:pos="720"/>
          <w:tab w:val="num" w:pos="426"/>
        </w:tabs>
        <w:spacing w:line="360" w:lineRule="auto"/>
        <w:ind w:left="0" w:firstLine="567"/>
        <w:jc w:val="both"/>
        <w:rPr>
          <w:rFonts w:ascii="Times New Roman" w:hAnsi="Times New Roman" w:cs="Times New Roman"/>
          <w:sz w:val="28"/>
        </w:rPr>
      </w:pPr>
      <w:r w:rsidRPr="00F919A5">
        <w:rPr>
          <w:rFonts w:ascii="Times New Roman" w:hAnsi="Times New Roman" w:cs="Times New Roman"/>
          <w:sz w:val="28"/>
        </w:rPr>
        <w:t xml:space="preserve">Provide </w:t>
      </w:r>
      <w:r w:rsidRPr="00F919A5">
        <w:rPr>
          <w:rFonts w:ascii="Times New Roman" w:hAnsi="Times New Roman" w:cs="Times New Roman"/>
          <w:i/>
          <w:iCs/>
          <w:sz w:val="28"/>
        </w:rPr>
        <w:t>facilitation skill training</w:t>
      </w:r>
      <w:r w:rsidRPr="00F919A5">
        <w:rPr>
          <w:rFonts w:ascii="Times New Roman" w:hAnsi="Times New Roman" w:cs="Times New Roman"/>
          <w:sz w:val="28"/>
        </w:rPr>
        <w:t xml:space="preserve"> for lecturers to enhance reflective questioning and feedback.</w:t>
      </w:r>
    </w:p>
    <w:p w:rsidR="00720900" w:rsidRPr="00F919A5" w:rsidRDefault="00720900" w:rsidP="00100132">
      <w:pPr>
        <w:numPr>
          <w:ilvl w:val="0"/>
          <w:numId w:val="2"/>
        </w:numPr>
        <w:tabs>
          <w:tab w:val="clear" w:pos="720"/>
          <w:tab w:val="num" w:pos="426"/>
        </w:tabs>
        <w:spacing w:line="360" w:lineRule="auto"/>
        <w:ind w:left="0" w:firstLine="567"/>
        <w:jc w:val="both"/>
        <w:rPr>
          <w:rFonts w:ascii="Times New Roman" w:hAnsi="Times New Roman" w:cs="Times New Roman"/>
          <w:sz w:val="28"/>
        </w:rPr>
      </w:pPr>
      <w:r w:rsidRPr="00F919A5">
        <w:rPr>
          <w:rFonts w:ascii="Times New Roman" w:hAnsi="Times New Roman" w:cs="Times New Roman"/>
          <w:sz w:val="28"/>
        </w:rPr>
        <w:t xml:space="preserve">Employ </w:t>
      </w:r>
      <w:r w:rsidRPr="00F919A5">
        <w:rPr>
          <w:rFonts w:ascii="Times New Roman" w:hAnsi="Times New Roman" w:cs="Times New Roman"/>
          <w:i/>
          <w:iCs/>
          <w:sz w:val="28"/>
        </w:rPr>
        <w:t>learning analytics</w:t>
      </w:r>
      <w:r w:rsidRPr="00F919A5">
        <w:rPr>
          <w:rFonts w:ascii="Times New Roman" w:hAnsi="Times New Roman" w:cs="Times New Roman"/>
          <w:sz w:val="28"/>
        </w:rPr>
        <w:t xml:space="preserve"> to continuously track students’ competency growth.</w:t>
      </w:r>
    </w:p>
    <w:p w:rsidR="00720900" w:rsidRPr="00F919A5" w:rsidRDefault="00720900" w:rsidP="00100132">
      <w:pPr>
        <w:numPr>
          <w:ilvl w:val="0"/>
          <w:numId w:val="2"/>
        </w:numPr>
        <w:tabs>
          <w:tab w:val="clear" w:pos="720"/>
          <w:tab w:val="num" w:pos="426"/>
        </w:tabs>
        <w:spacing w:line="360" w:lineRule="auto"/>
        <w:ind w:left="0" w:firstLine="567"/>
        <w:jc w:val="both"/>
        <w:rPr>
          <w:rFonts w:ascii="Times New Roman" w:hAnsi="Times New Roman" w:cs="Times New Roman"/>
          <w:sz w:val="28"/>
        </w:rPr>
      </w:pPr>
      <w:r w:rsidRPr="00F919A5">
        <w:rPr>
          <w:rFonts w:ascii="Times New Roman" w:hAnsi="Times New Roman" w:cs="Times New Roman"/>
          <w:sz w:val="28"/>
        </w:rPr>
        <w:lastRenderedPageBreak/>
        <w:t>Establish inter-university SoTL collaborations to promote evidence-based, competency-driven teaching innovation.</w:t>
      </w:r>
    </w:p>
    <w:p w:rsidR="00720900" w:rsidRPr="00F919A5" w:rsidRDefault="00720900" w:rsidP="0036480B">
      <w:pPr>
        <w:spacing w:line="360" w:lineRule="auto"/>
        <w:ind w:firstLine="567"/>
        <w:jc w:val="both"/>
        <w:rPr>
          <w:rFonts w:ascii="Times New Roman" w:hAnsi="Times New Roman" w:cs="Times New Roman"/>
          <w:b/>
          <w:bCs/>
          <w:sz w:val="28"/>
        </w:rPr>
      </w:pPr>
      <w:r w:rsidRPr="00F919A5">
        <w:rPr>
          <w:rFonts w:ascii="Times New Roman" w:hAnsi="Times New Roman" w:cs="Times New Roman"/>
          <w:b/>
          <w:bCs/>
          <w:sz w:val="28"/>
        </w:rPr>
        <w:t>5. Synthesis and Conclusion</w:t>
      </w:r>
    </w:p>
    <w:p w:rsidR="00B66563" w:rsidRPr="00F919A5" w:rsidRDefault="00720900" w:rsidP="0036480B">
      <w:pPr>
        <w:spacing w:line="360" w:lineRule="auto"/>
        <w:ind w:firstLine="567"/>
        <w:jc w:val="both"/>
        <w:rPr>
          <w:rFonts w:ascii="Times New Roman" w:hAnsi="Times New Roman" w:cs="Times New Roman"/>
          <w:b/>
          <w:bCs/>
          <w:sz w:val="28"/>
        </w:rPr>
      </w:pPr>
      <w:r w:rsidRPr="00F919A5">
        <w:rPr>
          <w:rFonts w:ascii="Times New Roman" w:hAnsi="Times New Roman" w:cs="Times New Roman"/>
          <w:sz w:val="28"/>
        </w:rPr>
        <w:t xml:space="preserve">The integration of OBE, Active Learning, and SoTL demonstrates that teaching can evolve from “content transmission” to “thinking design.” The </w:t>
      </w:r>
      <w:r w:rsidRPr="00F919A5">
        <w:rPr>
          <w:rFonts w:ascii="Times New Roman" w:hAnsi="Times New Roman" w:cs="Times New Roman"/>
          <w:i/>
          <w:iCs/>
          <w:sz w:val="28"/>
        </w:rPr>
        <w:t>Financial Modeling Workshop</w:t>
      </w:r>
      <w:r w:rsidRPr="00F919A5">
        <w:rPr>
          <w:rFonts w:ascii="Times New Roman" w:hAnsi="Times New Roman" w:cs="Times New Roman"/>
          <w:sz w:val="28"/>
        </w:rPr>
        <w:t xml:space="preserve"> proved effective in enabling students to connect financial theory with strategic decision-making through structured experiential learning. This approach strengthens not only analytical performance but also the reflective culture essential for long-term professional competence in the data-driven economy.</w:t>
      </w:r>
      <w:r w:rsidR="00B66563" w:rsidRPr="00F919A5">
        <w:rPr>
          <w:rFonts w:ascii="Times New Roman" w:hAnsi="Times New Roman" w:cs="Times New Roman"/>
          <w:sz w:val="28"/>
          <w:cs/>
        </w:rPr>
        <w:br/>
      </w:r>
      <w:r w:rsidR="00B66563" w:rsidRPr="00F919A5">
        <w:rPr>
          <w:rFonts w:ascii="Times New Roman" w:hAnsi="Times New Roman" w:cs="Times New Roman"/>
          <w:b/>
          <w:bCs/>
          <w:sz w:val="28"/>
        </w:rPr>
        <w:t>Acknowledgment</w:t>
      </w:r>
    </w:p>
    <w:p w:rsidR="00720900" w:rsidRPr="00F919A5" w:rsidRDefault="00B66563" w:rsidP="00F919A5">
      <w:pPr>
        <w:spacing w:line="360" w:lineRule="auto"/>
        <w:jc w:val="both"/>
        <w:rPr>
          <w:rFonts w:ascii="Times New Roman" w:hAnsi="Times New Roman" w:cs="Times New Roman"/>
          <w:sz w:val="28"/>
        </w:rPr>
      </w:pPr>
      <w:r w:rsidRPr="00F919A5">
        <w:rPr>
          <w:rFonts w:ascii="Times New Roman" w:hAnsi="Times New Roman" w:cs="Times New Roman"/>
          <w:sz w:val="28"/>
        </w:rPr>
        <w:t>This study was supported by the Teaching and Learning Innovation DevelopmentGrant, Fiscal Year 2025, under the Office of Academic and Learning Affairs, ThaksinUniversity, Thailand.</w:t>
      </w:r>
    </w:p>
    <w:p w:rsidR="00720900" w:rsidRPr="00F919A5" w:rsidRDefault="00720900" w:rsidP="0059554D">
      <w:pPr>
        <w:spacing w:line="360" w:lineRule="auto"/>
        <w:ind w:firstLine="567"/>
        <w:jc w:val="center"/>
        <w:rPr>
          <w:rFonts w:ascii="Times New Roman" w:hAnsi="Times New Roman" w:cs="Times New Roman"/>
          <w:b/>
          <w:bCs/>
          <w:sz w:val="28"/>
        </w:rPr>
      </w:pPr>
      <w:r w:rsidRPr="00F919A5">
        <w:rPr>
          <w:rFonts w:ascii="Times New Roman" w:hAnsi="Times New Roman" w:cs="Times New Roman"/>
          <w:b/>
          <w:bCs/>
          <w:sz w:val="28"/>
        </w:rPr>
        <w:t>R</w:t>
      </w:r>
      <w:r w:rsidR="0059554D">
        <w:rPr>
          <w:rFonts w:ascii="Times New Roman" w:hAnsi="Times New Roman" w:cs="Times New Roman"/>
          <w:b/>
          <w:bCs/>
          <w:sz w:val="28"/>
        </w:rPr>
        <w:t>EFERENCES</w:t>
      </w:r>
    </w:p>
    <w:p w:rsidR="006400C3" w:rsidRDefault="00220044" w:rsidP="0036480B">
      <w:pPr>
        <w:spacing w:line="360" w:lineRule="auto"/>
        <w:ind w:firstLine="567"/>
        <w:jc w:val="both"/>
        <w:rPr>
          <w:rFonts w:ascii="Times New Roman" w:hAnsi="Times New Roman" w:cs="Times New Roman"/>
          <w:sz w:val="28"/>
        </w:rPr>
      </w:pPr>
      <w:r>
        <w:rPr>
          <w:rFonts w:ascii="Times New Roman" w:hAnsi="Times New Roman" w:cs="Times New Roman"/>
          <w:sz w:val="28"/>
        </w:rPr>
        <w:t>1</w:t>
      </w:r>
      <w:r w:rsidR="0059554D">
        <w:rPr>
          <w:rFonts w:ascii="Times New Roman" w:hAnsi="Times New Roman" w:cs="Times New Roman"/>
          <w:sz w:val="28"/>
        </w:rPr>
        <w:t xml:space="preserve">. </w:t>
      </w:r>
      <w:r w:rsidR="006400C3" w:rsidRPr="006400C3">
        <w:rPr>
          <w:rFonts w:ascii="Times New Roman" w:hAnsi="Times New Roman" w:cs="Times New Roman"/>
          <w:sz w:val="28"/>
        </w:rPr>
        <w:t>Biggs, J., &amp; Tang, C. (2011). Teaching for Quality Learning at University. Maidenhead, UK: Open University Press.</w:t>
      </w:r>
    </w:p>
    <w:p w:rsidR="00523D30" w:rsidRDefault="006400C3" w:rsidP="0036480B">
      <w:pPr>
        <w:spacing w:line="360" w:lineRule="auto"/>
        <w:ind w:firstLine="567"/>
        <w:jc w:val="both"/>
        <w:rPr>
          <w:rFonts w:ascii="Times New Roman" w:hAnsi="Times New Roman" w:cs="Times New Roman"/>
          <w:sz w:val="28"/>
        </w:rPr>
      </w:pPr>
      <w:r>
        <w:rPr>
          <w:rFonts w:ascii="Times New Roman" w:hAnsi="Times New Roman" w:cs="Times New Roman"/>
          <w:sz w:val="28"/>
        </w:rPr>
        <w:t>2</w:t>
      </w:r>
      <w:r w:rsidR="00220044">
        <w:rPr>
          <w:rFonts w:ascii="Times New Roman" w:hAnsi="Times New Roman" w:cs="Times New Roman"/>
          <w:sz w:val="28"/>
        </w:rPr>
        <w:t>.</w:t>
      </w:r>
      <w:r w:rsidR="00100132" w:rsidRPr="00F919A5">
        <w:rPr>
          <w:rFonts w:ascii="Times New Roman" w:hAnsi="Times New Roman" w:cs="Times New Roman"/>
          <w:sz w:val="28"/>
        </w:rPr>
        <w:t xml:space="preserve">Bishop, J. L., &amp; Verleger, M. A. (2013). </w:t>
      </w:r>
      <w:r w:rsidR="00100132" w:rsidRPr="00F919A5">
        <w:rPr>
          <w:rFonts w:ascii="Times New Roman" w:hAnsi="Times New Roman" w:cs="Times New Roman"/>
          <w:i/>
          <w:iCs/>
          <w:sz w:val="28"/>
        </w:rPr>
        <w:t>The flipped classroom: A survey of the research.</w:t>
      </w:r>
      <w:r w:rsidR="00100132" w:rsidRPr="00F919A5">
        <w:rPr>
          <w:rFonts w:ascii="Times New Roman" w:hAnsi="Times New Roman" w:cs="Times New Roman"/>
          <w:sz w:val="28"/>
        </w:rPr>
        <w:t xml:space="preserve"> ASEE National Conference Proceedings, Atlanta, GA</w:t>
      </w:r>
      <w:r w:rsidR="00720900" w:rsidRPr="00F919A5">
        <w:rPr>
          <w:rFonts w:ascii="Times New Roman" w:hAnsi="Times New Roman" w:cs="Times New Roman"/>
          <w:sz w:val="28"/>
        </w:rPr>
        <w:t>.</w:t>
      </w:r>
    </w:p>
    <w:p w:rsidR="00523D30" w:rsidRDefault="006400C3" w:rsidP="0036480B">
      <w:pPr>
        <w:spacing w:line="360" w:lineRule="auto"/>
        <w:ind w:firstLine="567"/>
        <w:jc w:val="both"/>
        <w:rPr>
          <w:rFonts w:ascii="Times New Roman" w:hAnsi="Times New Roman" w:cs="Times New Roman"/>
          <w:sz w:val="28"/>
        </w:rPr>
      </w:pPr>
      <w:r>
        <w:rPr>
          <w:rFonts w:ascii="Times New Roman" w:hAnsi="Times New Roman" w:cs="Times New Roman"/>
          <w:sz w:val="28"/>
        </w:rPr>
        <w:t>3</w:t>
      </w:r>
      <w:r w:rsidR="00220044">
        <w:rPr>
          <w:rFonts w:ascii="Times New Roman" w:hAnsi="Times New Roman" w:cs="Times New Roman"/>
          <w:sz w:val="28"/>
        </w:rPr>
        <w:t>.</w:t>
      </w:r>
      <w:r w:rsidR="00100132" w:rsidRPr="00F919A5">
        <w:rPr>
          <w:rFonts w:ascii="Times New Roman" w:hAnsi="Times New Roman" w:cs="Times New Roman"/>
          <w:sz w:val="28"/>
        </w:rPr>
        <w:t xml:space="preserve">Bonwell, C. C., &amp; Eison, J. A. (1991). </w:t>
      </w:r>
      <w:r w:rsidR="00100132" w:rsidRPr="00F919A5">
        <w:rPr>
          <w:rFonts w:ascii="Times New Roman" w:hAnsi="Times New Roman" w:cs="Times New Roman"/>
          <w:i/>
          <w:iCs/>
          <w:sz w:val="28"/>
        </w:rPr>
        <w:t>Active learning: Creating excitement in the classroom.</w:t>
      </w:r>
      <w:r w:rsidR="00100132" w:rsidRPr="00F919A5">
        <w:rPr>
          <w:rFonts w:ascii="Times New Roman" w:hAnsi="Times New Roman" w:cs="Times New Roman"/>
          <w:sz w:val="28"/>
        </w:rPr>
        <w:t>ASHE-ERIC Higher Education Report.</w:t>
      </w:r>
    </w:p>
    <w:p w:rsidR="0036480B" w:rsidRDefault="006400C3" w:rsidP="0036480B">
      <w:pPr>
        <w:spacing w:line="360" w:lineRule="auto"/>
        <w:ind w:firstLine="567"/>
        <w:jc w:val="both"/>
        <w:rPr>
          <w:rFonts w:ascii="Times New Roman" w:hAnsi="Times New Roman" w:cs="Times New Roman"/>
          <w:sz w:val="28"/>
        </w:rPr>
      </w:pPr>
      <w:r>
        <w:rPr>
          <w:rFonts w:ascii="Times New Roman" w:hAnsi="Times New Roman" w:cs="Times New Roman"/>
          <w:sz w:val="28"/>
        </w:rPr>
        <w:t>4</w:t>
      </w:r>
      <w:r w:rsidR="00220044">
        <w:rPr>
          <w:rFonts w:ascii="Times New Roman" w:hAnsi="Times New Roman" w:cs="Times New Roman"/>
          <w:sz w:val="28"/>
        </w:rPr>
        <w:t>.</w:t>
      </w:r>
      <w:r w:rsidR="00720900" w:rsidRPr="00F919A5">
        <w:rPr>
          <w:rFonts w:ascii="Times New Roman" w:hAnsi="Times New Roman" w:cs="Times New Roman"/>
          <w:sz w:val="28"/>
        </w:rPr>
        <w:t xml:space="preserve">Freeman, S., Eddy, S. L., McDonough, M., Smith, M. K., Okoroafor, N., Jordt, H., &amp; Wenderoth,M. P. (2014). Active learning increases student </w:t>
      </w:r>
      <w:r w:rsidR="00720900" w:rsidRPr="00F919A5">
        <w:rPr>
          <w:rFonts w:ascii="Times New Roman" w:hAnsi="Times New Roman" w:cs="Times New Roman"/>
          <w:sz w:val="28"/>
        </w:rPr>
        <w:lastRenderedPageBreak/>
        <w:t xml:space="preserve">performance in science, engineering, and mathematics. </w:t>
      </w:r>
      <w:r w:rsidR="00720900" w:rsidRPr="00F919A5">
        <w:rPr>
          <w:rFonts w:ascii="Times New Roman" w:hAnsi="Times New Roman" w:cs="Times New Roman"/>
          <w:i/>
          <w:iCs/>
          <w:sz w:val="28"/>
        </w:rPr>
        <w:t>Proceedings of the National Academy of Sciences</w:t>
      </w:r>
      <w:r w:rsidR="00720900" w:rsidRPr="00F919A5">
        <w:rPr>
          <w:rFonts w:ascii="Times New Roman" w:hAnsi="Times New Roman" w:cs="Times New Roman"/>
          <w:sz w:val="28"/>
        </w:rPr>
        <w:t xml:space="preserve">, </w:t>
      </w:r>
      <w:r w:rsidR="00720900" w:rsidRPr="00F919A5">
        <w:rPr>
          <w:rFonts w:ascii="Times New Roman" w:hAnsi="Times New Roman" w:cs="Times New Roman"/>
          <w:i/>
          <w:iCs/>
          <w:sz w:val="28"/>
        </w:rPr>
        <w:t>111</w:t>
      </w:r>
      <w:r w:rsidR="00720900" w:rsidRPr="00F919A5">
        <w:rPr>
          <w:rFonts w:ascii="Times New Roman" w:hAnsi="Times New Roman" w:cs="Times New Roman"/>
          <w:sz w:val="28"/>
        </w:rPr>
        <w:t>(23), 8410–8415.</w:t>
      </w:r>
    </w:p>
    <w:p w:rsidR="0059554D" w:rsidRDefault="006400C3" w:rsidP="0036480B">
      <w:pPr>
        <w:spacing w:line="360" w:lineRule="auto"/>
        <w:ind w:firstLine="567"/>
        <w:jc w:val="both"/>
        <w:rPr>
          <w:rFonts w:ascii="Times New Roman" w:hAnsi="Times New Roman" w:cs="Times New Roman"/>
          <w:sz w:val="28"/>
          <w:lang w:val="uk-UA"/>
        </w:rPr>
      </w:pPr>
      <w:r>
        <w:rPr>
          <w:rFonts w:ascii="Times New Roman" w:hAnsi="Times New Roman" w:cs="Times New Roman"/>
          <w:sz w:val="28"/>
        </w:rPr>
        <w:t>5</w:t>
      </w:r>
      <w:r w:rsidR="00220044">
        <w:rPr>
          <w:rFonts w:ascii="Times New Roman" w:hAnsi="Times New Roman" w:cs="Times New Roman"/>
          <w:sz w:val="28"/>
        </w:rPr>
        <w:t xml:space="preserve">. </w:t>
      </w:r>
      <w:r w:rsidR="00720900" w:rsidRPr="00F919A5">
        <w:rPr>
          <w:rFonts w:ascii="Times New Roman" w:hAnsi="Times New Roman" w:cs="Times New Roman"/>
          <w:sz w:val="28"/>
        </w:rPr>
        <w:t xml:space="preserve">Healey, M. (2005). Linking research and teaching: Exploring disciplinary spaces and the role of inquiry-based learning. In </w:t>
      </w:r>
      <w:r w:rsidR="00720900" w:rsidRPr="00F919A5">
        <w:rPr>
          <w:rFonts w:ascii="Times New Roman" w:hAnsi="Times New Roman" w:cs="Times New Roman"/>
          <w:i/>
          <w:iCs/>
          <w:sz w:val="28"/>
        </w:rPr>
        <w:t>Reshaping the University</w:t>
      </w:r>
      <w:r w:rsidR="00720900" w:rsidRPr="00F919A5">
        <w:rPr>
          <w:rFonts w:ascii="Times New Roman" w:hAnsi="Times New Roman" w:cs="Times New Roman"/>
          <w:sz w:val="28"/>
        </w:rPr>
        <w:t xml:space="preserve"> (pp. 67–78).</w:t>
      </w:r>
    </w:p>
    <w:p w:rsidR="00720900" w:rsidRDefault="006400C3" w:rsidP="0036480B">
      <w:pPr>
        <w:spacing w:line="360" w:lineRule="auto"/>
        <w:ind w:firstLine="567"/>
        <w:jc w:val="both"/>
        <w:rPr>
          <w:rFonts w:ascii="Times New Roman" w:hAnsi="Times New Roman" w:cs="Times New Roman"/>
          <w:sz w:val="28"/>
        </w:rPr>
      </w:pPr>
      <w:r>
        <w:rPr>
          <w:rFonts w:ascii="Times New Roman" w:hAnsi="Times New Roman" w:cs="Times New Roman"/>
          <w:sz w:val="28"/>
        </w:rPr>
        <w:t>6</w:t>
      </w:r>
      <w:r w:rsidR="00100132">
        <w:rPr>
          <w:rFonts w:ascii="Times New Roman" w:hAnsi="Times New Roman" w:cs="Times New Roman"/>
          <w:sz w:val="28"/>
        </w:rPr>
        <w:t xml:space="preserve">. </w:t>
      </w:r>
      <w:r w:rsidR="00720900" w:rsidRPr="00F919A5">
        <w:rPr>
          <w:rFonts w:ascii="Times New Roman" w:hAnsi="Times New Roman" w:cs="Times New Roman"/>
          <w:sz w:val="28"/>
        </w:rPr>
        <w:t xml:space="preserve">Kolb, D. A. (2014). </w:t>
      </w:r>
      <w:r w:rsidR="00720900" w:rsidRPr="00F919A5">
        <w:rPr>
          <w:rFonts w:ascii="Times New Roman" w:hAnsi="Times New Roman" w:cs="Times New Roman"/>
          <w:i/>
          <w:iCs/>
          <w:sz w:val="28"/>
        </w:rPr>
        <w:t>Experiential learning: Experience as the source of learning and development</w:t>
      </w:r>
      <w:r w:rsidR="00720900" w:rsidRPr="00F919A5">
        <w:rPr>
          <w:rFonts w:ascii="Times New Roman" w:hAnsi="Times New Roman" w:cs="Times New Roman"/>
          <w:sz w:val="28"/>
        </w:rPr>
        <w:t>(2nd ed.). Pearson Education.</w:t>
      </w:r>
    </w:p>
    <w:p w:rsidR="00100132" w:rsidRDefault="006400C3" w:rsidP="00100132">
      <w:pPr>
        <w:spacing w:line="360" w:lineRule="auto"/>
        <w:ind w:firstLine="567"/>
        <w:jc w:val="both"/>
        <w:rPr>
          <w:rFonts w:ascii="Times New Roman" w:hAnsi="Times New Roman" w:cs="Times New Roman"/>
          <w:sz w:val="28"/>
        </w:rPr>
      </w:pPr>
      <w:r>
        <w:rPr>
          <w:rFonts w:ascii="Times New Roman" w:hAnsi="Times New Roman" w:cs="Times New Roman"/>
          <w:sz w:val="28"/>
        </w:rPr>
        <w:t>7</w:t>
      </w:r>
      <w:r w:rsidR="00100132">
        <w:rPr>
          <w:rFonts w:ascii="Times New Roman" w:hAnsi="Times New Roman" w:cs="Times New Roman"/>
          <w:sz w:val="28"/>
        </w:rPr>
        <w:t xml:space="preserve">. </w:t>
      </w:r>
      <w:r w:rsidR="00100132" w:rsidRPr="00F919A5">
        <w:rPr>
          <w:rFonts w:ascii="Times New Roman" w:hAnsi="Times New Roman" w:cs="Times New Roman"/>
          <w:sz w:val="28"/>
        </w:rPr>
        <w:t xml:space="preserve">Kuh, G. D. (2008). </w:t>
      </w:r>
      <w:r w:rsidR="00100132" w:rsidRPr="00F919A5">
        <w:rPr>
          <w:rFonts w:ascii="Times New Roman" w:hAnsi="Times New Roman" w:cs="Times New Roman"/>
          <w:i/>
          <w:iCs/>
          <w:sz w:val="28"/>
        </w:rPr>
        <w:t>High-impact educational practices: What they are, who has access to them,and why they matter.</w:t>
      </w:r>
      <w:r w:rsidR="00100132" w:rsidRPr="00F919A5">
        <w:rPr>
          <w:rFonts w:ascii="Times New Roman" w:hAnsi="Times New Roman" w:cs="Times New Roman"/>
          <w:sz w:val="28"/>
        </w:rPr>
        <w:t xml:space="preserve"> AAC&amp;U.</w:t>
      </w:r>
    </w:p>
    <w:p w:rsidR="00100132" w:rsidRPr="0036480B" w:rsidRDefault="00100132" w:rsidP="0036480B">
      <w:pPr>
        <w:spacing w:line="360" w:lineRule="auto"/>
        <w:ind w:firstLine="567"/>
        <w:jc w:val="both"/>
        <w:rPr>
          <w:rFonts w:ascii="Times New Roman" w:hAnsi="Times New Roman" w:cs="Times New Roman"/>
          <w:i/>
          <w:iCs/>
          <w:sz w:val="28"/>
        </w:rPr>
      </w:pPr>
    </w:p>
    <w:p w:rsidR="005C16E4" w:rsidRPr="00F919A5" w:rsidRDefault="005C16E4" w:rsidP="00F919A5">
      <w:pPr>
        <w:spacing w:line="360" w:lineRule="auto"/>
        <w:jc w:val="both"/>
        <w:rPr>
          <w:rFonts w:ascii="Times New Roman" w:hAnsi="Times New Roman" w:cs="Times New Roman"/>
          <w:sz w:val="28"/>
        </w:rPr>
      </w:pPr>
    </w:p>
    <w:sectPr w:rsidR="005C16E4" w:rsidRPr="00F919A5" w:rsidSect="00EE0004">
      <w:headerReference w:type="default" r:id="rId7"/>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34BE" w:rsidRDefault="007E34BE" w:rsidP="00EE0004">
      <w:pPr>
        <w:spacing w:after="0" w:line="240" w:lineRule="auto"/>
      </w:pPr>
      <w:r>
        <w:separator/>
      </w:r>
    </w:p>
  </w:endnote>
  <w:endnote w:type="continuationSeparator" w:id="1">
    <w:p w:rsidR="007E34BE" w:rsidRDefault="007E34BE" w:rsidP="00EE00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altName w:val="Arial"/>
    <w:charset w:val="CC"/>
    <w:family w:val="swiss"/>
    <w:pitch w:val="variable"/>
    <w:sig w:usb0="00000000" w:usb1="4000207B" w:usb2="00000000"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JasmineUPC">
    <w:panose1 w:val="02020603050405020304"/>
    <w:charset w:val="00"/>
    <w:family w:val="roman"/>
    <w:pitch w:val="variable"/>
    <w:sig w:usb0="01000007" w:usb1="00000002"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34BE" w:rsidRDefault="007E34BE" w:rsidP="00EE0004">
      <w:pPr>
        <w:spacing w:after="0" w:line="240" w:lineRule="auto"/>
      </w:pPr>
      <w:r>
        <w:separator/>
      </w:r>
    </w:p>
  </w:footnote>
  <w:footnote w:type="continuationSeparator" w:id="1">
    <w:p w:rsidR="007E34BE" w:rsidRDefault="007E34BE" w:rsidP="00EE00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004" w:rsidRDefault="00EE0004">
    <w:pPr>
      <w:pStyle w:val="af"/>
      <w:jc w:val="right"/>
    </w:pPr>
  </w:p>
  <w:p w:rsidR="00EE0004" w:rsidRDefault="00EE0004">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7534"/>
    <w:multiLevelType w:val="multilevel"/>
    <w:tmpl w:val="3E90A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6250C9"/>
    <w:multiLevelType w:val="multilevel"/>
    <w:tmpl w:val="F95C0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applyBreakingRules/>
  </w:compat>
  <w:rsids>
    <w:rsidRoot w:val="00720900"/>
    <w:rsid w:val="00054745"/>
    <w:rsid w:val="00085443"/>
    <w:rsid w:val="00100132"/>
    <w:rsid w:val="001376D2"/>
    <w:rsid w:val="00220044"/>
    <w:rsid w:val="002A685E"/>
    <w:rsid w:val="002C4B85"/>
    <w:rsid w:val="00341784"/>
    <w:rsid w:val="0036480B"/>
    <w:rsid w:val="00523D30"/>
    <w:rsid w:val="0059554D"/>
    <w:rsid w:val="005B0BEB"/>
    <w:rsid w:val="005C16E4"/>
    <w:rsid w:val="006400C3"/>
    <w:rsid w:val="00720900"/>
    <w:rsid w:val="007E34BE"/>
    <w:rsid w:val="007F483D"/>
    <w:rsid w:val="00907A19"/>
    <w:rsid w:val="009222AF"/>
    <w:rsid w:val="00945A79"/>
    <w:rsid w:val="009653E8"/>
    <w:rsid w:val="00A763B4"/>
    <w:rsid w:val="00B66563"/>
    <w:rsid w:val="00DF5B26"/>
    <w:rsid w:val="00EE0004"/>
    <w:rsid w:val="00EF0D11"/>
    <w:rsid w:val="00F919A5"/>
    <w:rsid w:val="00FE058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8"/>
        <w:lang w:val="en-US" w:eastAsia="en-US" w:bidi="th-TH"/>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1784"/>
  </w:style>
  <w:style w:type="paragraph" w:styleId="1">
    <w:name w:val="heading 1"/>
    <w:basedOn w:val="a"/>
    <w:next w:val="a"/>
    <w:link w:val="10"/>
    <w:uiPriority w:val="9"/>
    <w:qFormat/>
    <w:rsid w:val="00720900"/>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2">
    <w:name w:val="heading 2"/>
    <w:basedOn w:val="a"/>
    <w:next w:val="a"/>
    <w:link w:val="20"/>
    <w:uiPriority w:val="9"/>
    <w:semiHidden/>
    <w:unhideWhenUsed/>
    <w:qFormat/>
    <w:rsid w:val="00720900"/>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3">
    <w:name w:val="heading 3"/>
    <w:basedOn w:val="a"/>
    <w:next w:val="a"/>
    <w:link w:val="30"/>
    <w:uiPriority w:val="9"/>
    <w:semiHidden/>
    <w:unhideWhenUsed/>
    <w:qFormat/>
    <w:rsid w:val="00720900"/>
    <w:pPr>
      <w:keepNext/>
      <w:keepLines/>
      <w:spacing w:before="160" w:after="80"/>
      <w:outlineLvl w:val="2"/>
    </w:pPr>
    <w:rPr>
      <w:rFonts w:eastAsiaTheme="majorEastAsia" w:cstheme="majorBidi"/>
      <w:color w:val="2F5496" w:themeColor="accent1" w:themeShade="BF"/>
      <w:sz w:val="28"/>
      <w:szCs w:val="35"/>
    </w:rPr>
  </w:style>
  <w:style w:type="paragraph" w:styleId="4">
    <w:name w:val="heading 4"/>
    <w:basedOn w:val="a"/>
    <w:next w:val="a"/>
    <w:link w:val="40"/>
    <w:uiPriority w:val="9"/>
    <w:semiHidden/>
    <w:unhideWhenUsed/>
    <w:qFormat/>
    <w:rsid w:val="0072090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2090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2090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090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090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090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0900"/>
    <w:rPr>
      <w:rFonts w:asciiTheme="majorHAnsi" w:eastAsiaTheme="majorEastAsia" w:hAnsiTheme="majorHAnsi" w:cstheme="majorBidi"/>
      <w:color w:val="2F5496" w:themeColor="accent1" w:themeShade="BF"/>
      <w:sz w:val="40"/>
      <w:szCs w:val="50"/>
    </w:rPr>
  </w:style>
  <w:style w:type="character" w:customStyle="1" w:styleId="20">
    <w:name w:val="Заголовок 2 Знак"/>
    <w:basedOn w:val="a0"/>
    <w:link w:val="2"/>
    <w:uiPriority w:val="9"/>
    <w:semiHidden/>
    <w:rsid w:val="00720900"/>
    <w:rPr>
      <w:rFonts w:asciiTheme="majorHAnsi" w:eastAsiaTheme="majorEastAsia" w:hAnsiTheme="majorHAnsi" w:cstheme="majorBidi"/>
      <w:color w:val="2F5496" w:themeColor="accent1" w:themeShade="BF"/>
      <w:sz w:val="32"/>
      <w:szCs w:val="40"/>
    </w:rPr>
  </w:style>
  <w:style w:type="character" w:customStyle="1" w:styleId="30">
    <w:name w:val="Заголовок 3 Знак"/>
    <w:basedOn w:val="a0"/>
    <w:link w:val="3"/>
    <w:uiPriority w:val="9"/>
    <w:semiHidden/>
    <w:rsid w:val="00720900"/>
    <w:rPr>
      <w:rFonts w:eastAsiaTheme="majorEastAsia" w:cstheme="majorBidi"/>
      <w:color w:val="2F5496" w:themeColor="accent1" w:themeShade="BF"/>
      <w:sz w:val="28"/>
      <w:szCs w:val="35"/>
    </w:rPr>
  </w:style>
  <w:style w:type="character" w:customStyle="1" w:styleId="40">
    <w:name w:val="Заголовок 4 Знак"/>
    <w:basedOn w:val="a0"/>
    <w:link w:val="4"/>
    <w:uiPriority w:val="9"/>
    <w:semiHidden/>
    <w:rsid w:val="0072090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090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090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0900"/>
    <w:rPr>
      <w:rFonts w:eastAsiaTheme="majorEastAsia" w:cstheme="majorBidi"/>
      <w:color w:val="595959" w:themeColor="text1" w:themeTint="A6"/>
    </w:rPr>
  </w:style>
  <w:style w:type="character" w:customStyle="1" w:styleId="80">
    <w:name w:val="Заголовок 8 Знак"/>
    <w:basedOn w:val="a0"/>
    <w:link w:val="8"/>
    <w:uiPriority w:val="9"/>
    <w:semiHidden/>
    <w:rsid w:val="0072090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0900"/>
    <w:rPr>
      <w:rFonts w:eastAsiaTheme="majorEastAsia" w:cstheme="majorBidi"/>
      <w:color w:val="272727" w:themeColor="text1" w:themeTint="D8"/>
    </w:rPr>
  </w:style>
  <w:style w:type="paragraph" w:styleId="a3">
    <w:name w:val="Title"/>
    <w:basedOn w:val="a"/>
    <w:next w:val="a"/>
    <w:link w:val="a4"/>
    <w:uiPriority w:val="10"/>
    <w:qFormat/>
    <w:rsid w:val="0072090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a4">
    <w:name w:val="Название Знак"/>
    <w:basedOn w:val="a0"/>
    <w:link w:val="a3"/>
    <w:uiPriority w:val="10"/>
    <w:rsid w:val="00720900"/>
    <w:rPr>
      <w:rFonts w:asciiTheme="majorHAnsi" w:eastAsiaTheme="majorEastAsia" w:hAnsiTheme="majorHAnsi" w:cstheme="majorBidi"/>
      <w:spacing w:val="-10"/>
      <w:kern w:val="28"/>
      <w:sz w:val="56"/>
      <w:szCs w:val="71"/>
    </w:rPr>
  </w:style>
  <w:style w:type="paragraph" w:styleId="a5">
    <w:name w:val="Subtitle"/>
    <w:basedOn w:val="a"/>
    <w:next w:val="a"/>
    <w:link w:val="a6"/>
    <w:uiPriority w:val="11"/>
    <w:qFormat/>
    <w:rsid w:val="00720900"/>
    <w:pPr>
      <w:numPr>
        <w:ilvl w:val="1"/>
      </w:numPr>
    </w:pPr>
    <w:rPr>
      <w:rFonts w:eastAsiaTheme="majorEastAsia" w:cstheme="majorBidi"/>
      <w:color w:val="595959" w:themeColor="text1" w:themeTint="A6"/>
      <w:spacing w:val="15"/>
      <w:sz w:val="28"/>
      <w:szCs w:val="35"/>
    </w:rPr>
  </w:style>
  <w:style w:type="character" w:customStyle="1" w:styleId="a6">
    <w:name w:val="Подзаголовок Знак"/>
    <w:basedOn w:val="a0"/>
    <w:link w:val="a5"/>
    <w:uiPriority w:val="11"/>
    <w:rsid w:val="00720900"/>
    <w:rPr>
      <w:rFonts w:eastAsiaTheme="majorEastAsia" w:cstheme="majorBidi"/>
      <w:color w:val="595959" w:themeColor="text1" w:themeTint="A6"/>
      <w:spacing w:val="15"/>
      <w:sz w:val="28"/>
      <w:szCs w:val="35"/>
    </w:rPr>
  </w:style>
  <w:style w:type="paragraph" w:styleId="21">
    <w:name w:val="Quote"/>
    <w:basedOn w:val="a"/>
    <w:next w:val="a"/>
    <w:link w:val="22"/>
    <w:uiPriority w:val="29"/>
    <w:qFormat/>
    <w:rsid w:val="00720900"/>
    <w:pPr>
      <w:spacing w:before="160"/>
      <w:jc w:val="center"/>
    </w:pPr>
    <w:rPr>
      <w:i/>
      <w:iCs/>
      <w:color w:val="404040" w:themeColor="text1" w:themeTint="BF"/>
    </w:rPr>
  </w:style>
  <w:style w:type="character" w:customStyle="1" w:styleId="22">
    <w:name w:val="Цитата 2 Знак"/>
    <w:basedOn w:val="a0"/>
    <w:link w:val="21"/>
    <w:uiPriority w:val="29"/>
    <w:rsid w:val="00720900"/>
    <w:rPr>
      <w:i/>
      <w:iCs/>
      <w:color w:val="404040" w:themeColor="text1" w:themeTint="BF"/>
    </w:rPr>
  </w:style>
  <w:style w:type="paragraph" w:styleId="a7">
    <w:name w:val="List Paragraph"/>
    <w:basedOn w:val="a"/>
    <w:uiPriority w:val="34"/>
    <w:qFormat/>
    <w:rsid w:val="00720900"/>
    <w:pPr>
      <w:ind w:left="720"/>
      <w:contextualSpacing/>
    </w:pPr>
  </w:style>
  <w:style w:type="character" w:styleId="a8">
    <w:name w:val="Intense Emphasis"/>
    <w:basedOn w:val="a0"/>
    <w:uiPriority w:val="21"/>
    <w:qFormat/>
    <w:rsid w:val="00720900"/>
    <w:rPr>
      <w:i/>
      <w:iCs/>
      <w:color w:val="2F5496" w:themeColor="accent1" w:themeShade="BF"/>
    </w:rPr>
  </w:style>
  <w:style w:type="paragraph" w:styleId="a9">
    <w:name w:val="Intense Quote"/>
    <w:basedOn w:val="a"/>
    <w:next w:val="a"/>
    <w:link w:val="aa"/>
    <w:uiPriority w:val="30"/>
    <w:qFormat/>
    <w:rsid w:val="007209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20900"/>
    <w:rPr>
      <w:i/>
      <w:iCs/>
      <w:color w:val="2F5496" w:themeColor="accent1" w:themeShade="BF"/>
    </w:rPr>
  </w:style>
  <w:style w:type="character" w:styleId="ab">
    <w:name w:val="Intense Reference"/>
    <w:basedOn w:val="a0"/>
    <w:uiPriority w:val="32"/>
    <w:qFormat/>
    <w:rsid w:val="00720900"/>
    <w:rPr>
      <w:b/>
      <w:bCs/>
      <w:smallCaps/>
      <w:color w:val="2F5496" w:themeColor="accent1" w:themeShade="BF"/>
      <w:spacing w:val="5"/>
    </w:rPr>
  </w:style>
  <w:style w:type="paragraph" w:styleId="ac">
    <w:name w:val="footnote text"/>
    <w:aliases w:val="Текст сноски Знак1 Знак,Текст сноски Знак Знак Знак,Текст сноски Знак"/>
    <w:basedOn w:val="a"/>
    <w:link w:val="11"/>
    <w:uiPriority w:val="99"/>
    <w:unhideWhenUsed/>
    <w:rsid w:val="007F483D"/>
    <w:pPr>
      <w:spacing w:after="0" w:line="240" w:lineRule="auto"/>
    </w:pPr>
    <w:rPr>
      <w:rFonts w:ascii="JasmineUPC" w:hAnsi="JasmineUPC"/>
      <w:sz w:val="20"/>
      <w:szCs w:val="25"/>
    </w:rPr>
  </w:style>
  <w:style w:type="character" w:customStyle="1" w:styleId="11">
    <w:name w:val="Текст сноски Знак1"/>
    <w:aliases w:val="Текст сноски Знак1 Знак Знак,Текст сноски Знак Знак Знак Знак,Текст сноски Знак Знак"/>
    <w:basedOn w:val="a0"/>
    <w:link w:val="ac"/>
    <w:uiPriority w:val="99"/>
    <w:rsid w:val="007F483D"/>
    <w:rPr>
      <w:rFonts w:ascii="JasmineUPC" w:hAnsi="JasmineUPC"/>
      <w:sz w:val="20"/>
      <w:szCs w:val="25"/>
    </w:rPr>
  </w:style>
  <w:style w:type="character" w:styleId="ad">
    <w:name w:val="Hyperlink"/>
    <w:basedOn w:val="a0"/>
    <w:uiPriority w:val="99"/>
    <w:unhideWhenUsed/>
    <w:rsid w:val="007F483D"/>
    <w:rPr>
      <w:color w:val="0000FF"/>
      <w:u w:val="single"/>
    </w:rPr>
  </w:style>
  <w:style w:type="character" w:styleId="ae">
    <w:name w:val="Emphasis"/>
    <w:basedOn w:val="a0"/>
    <w:uiPriority w:val="99"/>
    <w:qFormat/>
    <w:rsid w:val="007F483D"/>
    <w:rPr>
      <w:i/>
      <w:iCs/>
    </w:rPr>
  </w:style>
  <w:style w:type="paragraph" w:styleId="af">
    <w:name w:val="header"/>
    <w:basedOn w:val="a"/>
    <w:link w:val="af0"/>
    <w:uiPriority w:val="99"/>
    <w:unhideWhenUsed/>
    <w:rsid w:val="00EE0004"/>
    <w:pPr>
      <w:tabs>
        <w:tab w:val="center" w:pos="4680"/>
        <w:tab w:val="right" w:pos="9360"/>
      </w:tabs>
      <w:spacing w:after="0" w:line="240" w:lineRule="auto"/>
    </w:pPr>
  </w:style>
  <w:style w:type="character" w:customStyle="1" w:styleId="af0">
    <w:name w:val="Верхний колонтитул Знак"/>
    <w:basedOn w:val="a0"/>
    <w:link w:val="af"/>
    <w:uiPriority w:val="99"/>
    <w:rsid w:val="00EE0004"/>
  </w:style>
  <w:style w:type="paragraph" w:styleId="af1">
    <w:name w:val="footer"/>
    <w:basedOn w:val="a"/>
    <w:link w:val="af2"/>
    <w:uiPriority w:val="99"/>
    <w:unhideWhenUsed/>
    <w:rsid w:val="00EE0004"/>
    <w:pPr>
      <w:tabs>
        <w:tab w:val="center" w:pos="4680"/>
        <w:tab w:val="right" w:pos="9360"/>
      </w:tabs>
      <w:spacing w:after="0" w:line="240" w:lineRule="auto"/>
    </w:pPr>
  </w:style>
  <w:style w:type="character" w:customStyle="1" w:styleId="af2">
    <w:name w:val="Нижний колонтитул Знак"/>
    <w:basedOn w:val="a0"/>
    <w:link w:val="af1"/>
    <w:uiPriority w:val="99"/>
    <w:rsid w:val="00EE000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3846</Words>
  <Characters>2193</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GIFL</cp:lastModifiedBy>
  <cp:revision>15</cp:revision>
  <dcterms:created xsi:type="dcterms:W3CDTF">2025-11-03T11:53:00Z</dcterms:created>
  <dcterms:modified xsi:type="dcterms:W3CDTF">2025-11-05T07:15:00Z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Redacted 011</vt:lpwstr>
  </property>
</Properties>
</file>