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FFAD5" w14:textId="0F1BB6FB" w:rsidR="00090161" w:rsidRPr="00755849" w:rsidRDefault="00755849" w:rsidP="00803FF6">
      <w:pPr>
        <w:tabs>
          <w:tab w:val="left" w:pos="8114"/>
        </w:tabs>
        <w:ind w:firstLine="567"/>
        <w:jc w:val="right"/>
        <w:rPr>
          <w:rFonts w:eastAsia="Times New Roman" w:cs="Times New Roman"/>
          <w:b/>
          <w:bCs/>
          <w:color w:val="auto"/>
          <w:szCs w:val="28"/>
          <w:lang w:eastAsia="ru-RU"/>
        </w:rPr>
      </w:pPr>
      <w:r w:rsidRPr="00755849">
        <w:rPr>
          <w:rFonts w:eastAsia="Times New Roman" w:cs="Times New Roman"/>
          <w:b/>
          <w:bCs/>
          <w:color w:val="auto"/>
          <w:szCs w:val="28"/>
          <w:lang w:eastAsia="ru-RU"/>
        </w:rPr>
        <w:t xml:space="preserve">Г.В. </w:t>
      </w:r>
      <w:proofErr w:type="spellStart"/>
      <w:r w:rsidRPr="00755849">
        <w:rPr>
          <w:rFonts w:eastAsia="Times New Roman" w:cs="Times New Roman"/>
          <w:b/>
          <w:bCs/>
          <w:color w:val="auto"/>
          <w:szCs w:val="28"/>
          <w:lang w:eastAsia="ru-RU"/>
        </w:rPr>
        <w:t>Гриніна</w:t>
      </w:r>
      <w:proofErr w:type="spellEnd"/>
    </w:p>
    <w:p w14:paraId="35477960" w14:textId="4C197D74" w:rsidR="00755849" w:rsidRPr="00755849" w:rsidRDefault="00755849" w:rsidP="00803FF6">
      <w:pPr>
        <w:tabs>
          <w:tab w:val="left" w:pos="8114"/>
        </w:tabs>
        <w:ind w:firstLine="567"/>
        <w:jc w:val="right"/>
        <w:rPr>
          <w:rFonts w:eastAsia="Times New Roman" w:cs="Times New Roman"/>
          <w:b/>
          <w:bCs/>
          <w:color w:val="auto"/>
          <w:szCs w:val="28"/>
          <w:lang w:eastAsia="ru-RU"/>
        </w:rPr>
      </w:pPr>
      <w:proofErr w:type="spellStart"/>
      <w:r w:rsidRPr="00755849">
        <w:rPr>
          <w:rFonts w:eastAsia="Times New Roman" w:cs="Times New Roman"/>
          <w:b/>
          <w:bCs/>
          <w:color w:val="auto"/>
          <w:szCs w:val="28"/>
          <w:lang w:eastAsia="ru-RU"/>
        </w:rPr>
        <w:t>м.Дніпро</w:t>
      </w:r>
      <w:proofErr w:type="spellEnd"/>
    </w:p>
    <w:p w14:paraId="08EEAEB9" w14:textId="29C8BFAA" w:rsidR="00755849" w:rsidRPr="00755849" w:rsidRDefault="00755849" w:rsidP="00803FF6">
      <w:pPr>
        <w:tabs>
          <w:tab w:val="left" w:pos="8114"/>
        </w:tabs>
        <w:ind w:firstLine="567"/>
        <w:jc w:val="right"/>
        <w:rPr>
          <w:rFonts w:eastAsia="Times New Roman" w:cs="Times New Roman"/>
          <w:b/>
          <w:bCs/>
          <w:color w:val="auto"/>
          <w:szCs w:val="28"/>
          <w:lang w:val="en-US" w:eastAsia="ru-RU"/>
        </w:rPr>
      </w:pPr>
      <w:r w:rsidRPr="00755849">
        <w:rPr>
          <w:rFonts w:eastAsia="Times New Roman" w:cs="Times New Roman"/>
          <w:b/>
          <w:bCs/>
          <w:color w:val="auto"/>
          <w:szCs w:val="28"/>
          <w:lang w:eastAsia="ru-RU"/>
        </w:rPr>
        <w:t>159.947.5:373.9(477)</w:t>
      </w:r>
      <w:r w:rsidRPr="00755849">
        <w:rPr>
          <w:rFonts w:eastAsia="Times New Roman" w:cs="Times New Roman"/>
          <w:b/>
          <w:bCs/>
          <w:color w:val="auto"/>
          <w:szCs w:val="28"/>
          <w:lang w:val="en-US" w:eastAsia="ru-RU"/>
        </w:rPr>
        <w:t>“2022/…”</w:t>
      </w:r>
    </w:p>
    <w:p w14:paraId="3E4CC06F" w14:textId="286AB1FC" w:rsidR="00090161" w:rsidRDefault="00090161" w:rsidP="00803FF6">
      <w:pPr>
        <w:pStyle w:val="1"/>
        <w:ind w:firstLine="567"/>
      </w:pPr>
      <w:bookmarkStart w:id="0" w:name="_GoBack"/>
      <w:r w:rsidRPr="003344C2">
        <w:t>ПСИХОЛОГІЧНІ ЧИННИКИ МОТИВАЦІЇ ДО НАВЧАННЯ МОЛОДІ В УМОВАХ ВОЄННОГО СТАНУ В УКРАЇНІ</w:t>
      </w:r>
    </w:p>
    <w:p w14:paraId="3F993C0E" w14:textId="77777777" w:rsidR="00090161" w:rsidRDefault="00090161" w:rsidP="00803FF6">
      <w:pPr>
        <w:ind w:firstLine="567"/>
      </w:pPr>
    </w:p>
    <w:bookmarkEnd w:id="0"/>
    <w:p w14:paraId="7856C160" w14:textId="77777777" w:rsidR="00090161" w:rsidRPr="00090161" w:rsidRDefault="00090161" w:rsidP="00803FF6">
      <w:pPr>
        <w:ind w:firstLine="567"/>
        <w:rPr>
          <w:color w:val="auto"/>
          <w:sz w:val="24"/>
        </w:rPr>
      </w:pPr>
      <w:r>
        <w:t>Сучасні умови воєнного стану в Україні істотно впливають на всі сфери життєдіяльності суспільства, зокрема на систему освіти та навчальну мотивацію молоді. Психологічні чинники мотивації до навчання в цей період набувають особливої значущості, оскільки вони визначають здатність молодої людини до збереження освітньої активності, саморозвитку та професійного самовизначення в умовах невизначеності, стресу та соціальної нестабільності.</w:t>
      </w:r>
    </w:p>
    <w:p w14:paraId="64D5E64C" w14:textId="77777777" w:rsidR="00090161" w:rsidRPr="00090161" w:rsidRDefault="00090161" w:rsidP="00803FF6">
      <w:pPr>
        <w:ind w:firstLine="567"/>
        <w:rPr>
          <w:color w:val="auto"/>
          <w:sz w:val="24"/>
        </w:rPr>
      </w:pPr>
      <w:r>
        <w:t>В умовах воєнного стану в Україні питання підтримання та розвитку мотивації до навчання серед молоді набуває особливої актуальності. Освітній процес у цей період відбувається в умовах психологічної напруги, частих змін форматів навчання, переміщення населення, втрати безпеки та стабільності. Усе це створює нові виклики для системи освіти, зумовлюючи необхідність глибшого розуміння психологічних механізмів, що забезпечують збереження навчальної активності та внутрішньої мотивації студентської та учнівської молоді.</w:t>
      </w:r>
    </w:p>
    <w:p w14:paraId="7CF0DEED" w14:textId="77777777" w:rsidR="00090161" w:rsidRDefault="00090161" w:rsidP="00803FF6">
      <w:pPr>
        <w:ind w:firstLine="567"/>
      </w:pPr>
      <w:r>
        <w:t>Мотивація до навчання є одним із провідних чинників ефективності освітнього процесу, оскільки визначає рівень залученості особистості, її пізнавальну ініціативу, наполегливість і здатність до самостійного здобуття знань. В умовах війни ці якості стають не лише академічною необхідністю, а й засобом психологічного відновлення, емоційної стабілізації та збереження життєвих орієнтирів. Саме тому дослідження психологічних чинників мотивації набуває не лише теоретичного, а й практичного значення, оскільки може стати основою для створення ефективних програм психолого-педагогічної підтримки молоді.</w:t>
      </w:r>
    </w:p>
    <w:p w14:paraId="415FC36A" w14:textId="7704E013" w:rsidR="00A11909" w:rsidRDefault="00A11909" w:rsidP="00803FF6">
      <w:pPr>
        <w:ind w:firstLine="567"/>
      </w:pPr>
      <w:r w:rsidRPr="00A11909">
        <w:t>Мотивація до навчання має динамічний характер</w:t>
      </w:r>
      <w:r>
        <w:t>,</w:t>
      </w:r>
      <w:r w:rsidRPr="00A11909">
        <w:t xml:space="preserve"> вона змінюється</w:t>
      </w:r>
      <w:r>
        <w:t xml:space="preserve"> залежно від вікових особливостей, життєвих обставин, соціального контексту та психологічного стану особистості. У періоди соціальних криз і воєнних дій </w:t>
      </w:r>
      <w:r>
        <w:lastRenderedPageBreak/>
        <w:t>мотиваційна структура зазнає трансформацій, адже змінюється система цінностей, смислів і пріоритетів молоді. У таких умовах актуалізується роль внутрішньої мотивації, пов’язаної з потребою у самозбереженні, самореалізації та відчутті власної значущості для суспільства.</w:t>
      </w:r>
    </w:p>
    <w:p w14:paraId="3FA52AD3" w14:textId="77777777" w:rsidR="00090161" w:rsidRDefault="00090161" w:rsidP="00803FF6">
      <w:pPr>
        <w:ind w:firstLine="567"/>
      </w:pPr>
      <w:r>
        <w:t>Крім того, в сучасному українському суспільстві формується нова ціннісна парадигма, у якій освіта постає як ключовий чинник національної стійкості та відбудови держави. Молодь розглядає навчання не лише як засіб професійного становлення, а й як внесок у спільну справу відновлення країни, що підсилює морально-патріотичний компонент мотивації.</w:t>
      </w:r>
    </w:p>
    <w:p w14:paraId="3E68BCE4" w14:textId="77777777" w:rsidR="00090161" w:rsidRDefault="00090161" w:rsidP="00803FF6">
      <w:pPr>
        <w:ind w:firstLine="567"/>
      </w:pPr>
      <w:r>
        <w:t>Отже, актуальність дослідження зумовлена потребою у визначенні та науковому обґрунтуванні психологічних чинників, що сприяють збереженню й розвитку мотивації до навчання молоді в умовах воєнного стану, а також необхідністю створення на цій основі психолого-педагогічних стратегій підтримки освітнього потенціалу суспільства.</w:t>
      </w:r>
    </w:p>
    <w:p w14:paraId="33456FF8" w14:textId="12B29C6E" w:rsidR="00090161" w:rsidRDefault="00090161" w:rsidP="00803FF6">
      <w:pPr>
        <w:ind w:firstLine="567"/>
      </w:pPr>
      <w:r>
        <w:t xml:space="preserve">Одним із ключових чинників в сучасних умовах безпекових викликів є </w:t>
      </w:r>
      <w:r w:rsidRPr="00090161">
        <w:t>емоційно-вольова стійкість, що дозволяє молоді долати страх, тривогу та</w:t>
      </w:r>
      <w:r>
        <w:t xml:space="preserve"> апатію, зберігаючи внутрішню мотивацію до навчальної діяльності. У періоди кризових ситуацій рівень емоційного напруження значно зростає, що може призводити до зниження концентрації, втрати інтересу до навчання або зневіри у власних силах. Водночас формування навичок саморегуляції, позитивного мислення та цілеспрямованості виступає потужним ресурсом підтримання навчальної мотивації</w:t>
      </w:r>
      <w:r w:rsidR="00A11909">
        <w:t xml:space="preserve"> </w:t>
      </w:r>
      <w:r w:rsidR="00A11909" w:rsidRPr="00A11909">
        <w:t>[1</w:t>
      </w:r>
      <w:r w:rsidR="00755849">
        <w:t xml:space="preserve">, </w:t>
      </w:r>
      <w:r w:rsidR="00755849">
        <w:rPr>
          <w:shd w:val="clear" w:color="auto" w:fill="FFFFFF"/>
        </w:rPr>
        <w:t>с</w:t>
      </w:r>
      <w:r w:rsidR="00755849" w:rsidRPr="00A11909">
        <w:rPr>
          <w:shd w:val="clear" w:color="auto" w:fill="FFFFFF"/>
        </w:rPr>
        <w:t>. 167-170</w:t>
      </w:r>
      <w:r w:rsidR="00A11909" w:rsidRPr="00A11909">
        <w:t>]</w:t>
      </w:r>
      <w:r>
        <w:t>.</w:t>
      </w:r>
    </w:p>
    <w:p w14:paraId="09E54CBF" w14:textId="7C13139D" w:rsidR="00090161" w:rsidRDefault="00090161" w:rsidP="00803FF6">
      <w:pPr>
        <w:ind w:firstLine="567"/>
      </w:pPr>
      <w:r w:rsidRPr="00090161">
        <w:t>Не менш важливим є ціннісно-смисловий компонент мотивації, який</w:t>
      </w:r>
      <w:r>
        <w:t xml:space="preserve"> відображає усвідомлення молоддю значущості освіти як інструменту самореалізації, соціальної мобільності та участі у відбудові країни. Освіта в умовах війни набуває не лише пізнавальної, а й моральної функції – стає засобом утвердження громадянської позиції, патріотизму та віри в майбутнє.</w:t>
      </w:r>
    </w:p>
    <w:p w14:paraId="3CBDF216" w14:textId="4D453663" w:rsidR="00090161" w:rsidRDefault="00090161" w:rsidP="00803FF6">
      <w:pPr>
        <w:ind w:firstLine="567"/>
      </w:pPr>
      <w:r w:rsidRPr="00090161">
        <w:t>До психологічних детермінант мотивації також належить соціальна підтримка з боку сім’ї, педагогів, однолітків. Емпатійне спілкування, довіра</w:t>
      </w:r>
      <w:r>
        <w:t xml:space="preserve"> та відчуття безпеки створюють сприятливе середовище для навчальної активності, </w:t>
      </w:r>
      <w:r>
        <w:lastRenderedPageBreak/>
        <w:t xml:space="preserve">навіть попри зовнішні загрози. Важливою умовою збереження </w:t>
      </w:r>
      <w:r w:rsidRPr="00090161">
        <w:t xml:space="preserve">внутрішньої мотивації є також відчуття контролю над ситуацією </w:t>
      </w:r>
      <w:r>
        <w:t>–</w:t>
      </w:r>
      <w:r w:rsidRPr="00090161">
        <w:t xml:space="preserve"> здатність</w:t>
      </w:r>
      <w:r>
        <w:t xml:space="preserve"> планувати навчальний процес, ставити реалістичні цілі та бачити перспективи особистісного зростання</w:t>
      </w:r>
      <w:r w:rsidR="008326BF">
        <w:t xml:space="preserve"> [2, </w:t>
      </w:r>
      <w:r w:rsidR="008326BF" w:rsidRPr="00A11909">
        <w:rPr>
          <w:shd w:val="clear" w:color="auto" w:fill="FFFFFF"/>
        </w:rPr>
        <w:t>с.</w:t>
      </w:r>
      <w:r w:rsidR="008326BF">
        <w:rPr>
          <w:shd w:val="clear" w:color="auto" w:fill="FFFFFF"/>
        </w:rPr>
        <w:t xml:space="preserve"> 40</w:t>
      </w:r>
      <w:r w:rsidR="00A11909" w:rsidRPr="00A11909">
        <w:t>]</w:t>
      </w:r>
      <w:r>
        <w:t>.</w:t>
      </w:r>
    </w:p>
    <w:p w14:paraId="5DFD0065" w14:textId="127F2ACC" w:rsidR="00090161" w:rsidRDefault="00090161" w:rsidP="00803FF6">
      <w:pPr>
        <w:ind w:firstLine="567"/>
      </w:pPr>
      <w:r w:rsidRPr="00090161">
        <w:t>Особливу роль у підтриманні навчальної мотивації відіграє цифрова компетентність молоді. В умовах дистанційного або змішаного навчання,</w:t>
      </w:r>
      <w:r>
        <w:t xml:space="preserve"> викликаного безпековими ризиками, уміння користуватися сучасними інформаційними технологіями стає не лише технічною, а й психологічною передумовою успішної освітньої діяльності</w:t>
      </w:r>
      <w:r w:rsidR="008326BF">
        <w:t xml:space="preserve"> [3, </w:t>
      </w:r>
      <w:r w:rsidR="008326BF">
        <w:rPr>
          <w:shd w:val="clear" w:color="auto" w:fill="FFFFFF"/>
        </w:rPr>
        <w:t>с</w:t>
      </w:r>
      <w:r w:rsidR="008326BF" w:rsidRPr="00A11909">
        <w:rPr>
          <w:shd w:val="clear" w:color="auto" w:fill="FFFFFF"/>
        </w:rPr>
        <w:t>. 121–126</w:t>
      </w:r>
      <w:r w:rsidR="00A11909" w:rsidRPr="00A11909">
        <w:t>]</w:t>
      </w:r>
      <w:r>
        <w:t>.</w:t>
      </w:r>
    </w:p>
    <w:p w14:paraId="4E050AB1" w14:textId="74507EC7" w:rsidR="00090161" w:rsidRDefault="00A11909" w:rsidP="00803FF6">
      <w:pPr>
        <w:ind w:firstLine="567"/>
      </w:pPr>
      <w:r>
        <w:t>Таким чином, мотивація до навчання є комплексним психічним утворенням, яке поєднує когнітивні, емоційно-вольові та ціннісно-смислові компоненти. Вона визначає не лише ефективність освітньої діяльності, а й загальний рівень особистісного розвитку та здатність молоді адаптуватися до змін у соціальному середовищі. П</w:t>
      </w:r>
      <w:r w:rsidR="00090161">
        <w:t>сихологічні чинники мотивації до навчання молоді в умовах воєнного стану охоплюють емоційно-вольову стійкість, ціннісно-смислову орієнтацію, соціальну підтримку, почуття безпеки та самоконтролю, а також здатність до адаптації й саморегуляції. Усвідомлення та розвиток цих чинників є важливим напрямом психологічного супроводу освітнього процесу, спрямованого на збереження потенціалу молоді та формування її життєстійкості.</w:t>
      </w:r>
    </w:p>
    <w:p w14:paraId="64477D89" w14:textId="77777777" w:rsidR="00090161" w:rsidRDefault="00090161" w:rsidP="00803FF6">
      <w:pPr>
        <w:ind w:firstLine="567"/>
      </w:pPr>
    </w:p>
    <w:p w14:paraId="4BD72DBE" w14:textId="6CEB8195" w:rsidR="00090161" w:rsidRDefault="00A11909" w:rsidP="00803FF6">
      <w:pPr>
        <w:pStyle w:val="1"/>
        <w:ind w:firstLine="567"/>
        <w:rPr>
          <w:shd w:val="clear" w:color="auto" w:fill="FFFFFF"/>
        </w:rPr>
      </w:pPr>
      <w:r>
        <w:rPr>
          <w:shd w:val="clear" w:color="auto" w:fill="FFFFFF"/>
        </w:rPr>
        <w:t xml:space="preserve">Список використаних джерел </w:t>
      </w:r>
    </w:p>
    <w:p w14:paraId="53310DCE" w14:textId="77777777" w:rsidR="00A11909" w:rsidRPr="00A11909" w:rsidRDefault="00A11909" w:rsidP="00803FF6">
      <w:pPr>
        <w:ind w:firstLine="567"/>
        <w:rPr>
          <w:lang w:eastAsia="ru-RU"/>
        </w:rPr>
      </w:pPr>
    </w:p>
    <w:p w14:paraId="75692952" w14:textId="77777777" w:rsidR="00A11909" w:rsidRPr="00A11909" w:rsidRDefault="00A11909" w:rsidP="00803FF6">
      <w:pPr>
        <w:pStyle w:val="a5"/>
        <w:numPr>
          <w:ilvl w:val="0"/>
          <w:numId w:val="1"/>
        </w:numPr>
        <w:tabs>
          <w:tab w:val="left" w:pos="1134"/>
        </w:tabs>
        <w:spacing w:line="240" w:lineRule="auto"/>
        <w:ind w:left="0" w:firstLine="567"/>
        <w:rPr>
          <w:shd w:val="clear" w:color="auto" w:fill="FFFFFF"/>
        </w:rPr>
      </w:pPr>
      <w:r w:rsidRPr="00A11909">
        <w:rPr>
          <w:shd w:val="clear" w:color="auto" w:fill="FFFFFF"/>
        </w:rPr>
        <w:t>Доманчук, Д. С. Психологічні чинники мотивації навчання у закладах вищої освіти: теоретичний аспект / Д. С. Доманчук // Магістерські студії. Альманах / ред. кол. : Д. С. Мальчикова, Т. С. Корнішева. – Херсон ; Івано-Франківськ : ХДУ, 2024. – Вип. 24. – С. 167-170.</w:t>
      </w:r>
    </w:p>
    <w:p w14:paraId="5E632C4B" w14:textId="6F0B251B" w:rsidR="00A11909" w:rsidRDefault="00A11909" w:rsidP="00803FF6">
      <w:pPr>
        <w:pStyle w:val="a5"/>
        <w:numPr>
          <w:ilvl w:val="0"/>
          <w:numId w:val="1"/>
        </w:numPr>
        <w:tabs>
          <w:tab w:val="left" w:pos="1134"/>
        </w:tabs>
        <w:spacing w:line="240" w:lineRule="auto"/>
        <w:ind w:left="0" w:firstLine="567"/>
      </w:pPr>
      <w:r w:rsidRPr="00A11909">
        <w:rPr>
          <w:shd w:val="clear" w:color="auto" w:fill="FFFFFF"/>
        </w:rPr>
        <w:t>Кочарян О. С., Фролова Є. В., Павленко В. М. Структура мотивації навчальної діяльності студентів : навчал</w:t>
      </w:r>
      <w:r w:rsidR="008326BF">
        <w:rPr>
          <w:shd w:val="clear" w:color="auto" w:fill="FFFFFF"/>
        </w:rPr>
        <w:t xml:space="preserve">ь-ний посібник. Харків, 2011. </w:t>
      </w:r>
      <w:r w:rsidRPr="00A11909">
        <w:rPr>
          <w:shd w:val="clear" w:color="auto" w:fill="FFFFFF"/>
        </w:rPr>
        <w:t xml:space="preserve"> с.</w:t>
      </w:r>
      <w:r w:rsidR="008326BF">
        <w:rPr>
          <w:shd w:val="clear" w:color="auto" w:fill="FFFFFF"/>
        </w:rPr>
        <w:t xml:space="preserve"> 40</w:t>
      </w:r>
    </w:p>
    <w:p w14:paraId="1DA71CAE" w14:textId="77777777" w:rsidR="00A11909" w:rsidRPr="00A11909" w:rsidRDefault="00A11909" w:rsidP="00803FF6">
      <w:pPr>
        <w:pStyle w:val="a5"/>
        <w:numPr>
          <w:ilvl w:val="0"/>
          <w:numId w:val="1"/>
        </w:numPr>
        <w:tabs>
          <w:tab w:val="left" w:pos="1134"/>
        </w:tabs>
        <w:spacing w:line="240" w:lineRule="auto"/>
        <w:ind w:left="0" w:firstLine="567"/>
        <w:rPr>
          <w:shd w:val="clear" w:color="auto" w:fill="FFFFFF"/>
        </w:rPr>
      </w:pPr>
      <w:r w:rsidRPr="00A11909">
        <w:rPr>
          <w:shd w:val="clear" w:color="auto" w:fill="FFFFFF"/>
        </w:rPr>
        <w:t>Микитюк С. О., Микитюк C. C. Мотивація начальної діяльності як ресурс освітнього процесу. Збірник наукових праць Національного юридичного університету імені Ярослава Мудрого. 2021. № 76, Т.2. С. 121–126.</w:t>
      </w:r>
    </w:p>
    <w:sectPr w:rsidR="00A11909" w:rsidRPr="00A11909" w:rsidSect="00803FF6">
      <w:pgSz w:w="11900" w:h="1682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14D73"/>
    <w:multiLevelType w:val="hybridMultilevel"/>
    <w:tmpl w:val="E0BC0E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61"/>
    <w:rsid w:val="00014604"/>
    <w:rsid w:val="00090161"/>
    <w:rsid w:val="000E30EA"/>
    <w:rsid w:val="002C67AF"/>
    <w:rsid w:val="004B40EF"/>
    <w:rsid w:val="004E10C3"/>
    <w:rsid w:val="005540BA"/>
    <w:rsid w:val="006C0B77"/>
    <w:rsid w:val="00755849"/>
    <w:rsid w:val="00803FF6"/>
    <w:rsid w:val="008242FF"/>
    <w:rsid w:val="008326BF"/>
    <w:rsid w:val="00870751"/>
    <w:rsid w:val="00922C48"/>
    <w:rsid w:val="00A11909"/>
    <w:rsid w:val="00B915B7"/>
    <w:rsid w:val="00E110A5"/>
    <w:rsid w:val="00E75848"/>
    <w:rsid w:val="00EA59DF"/>
    <w:rsid w:val="00EE4070"/>
    <w:rsid w:val="00F12C76"/>
    <w:rsid w:val="00F222F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D2029"/>
  <w15:docId w15:val="{A10E3D33-8A7B-470B-B541-AC934A3A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604"/>
    <w:pPr>
      <w:spacing w:after="0" w:line="360" w:lineRule="auto"/>
      <w:ind w:firstLine="709"/>
      <w:jc w:val="both"/>
    </w:pPr>
    <w:rPr>
      <w:rFonts w:ascii="Times New Roman" w:hAnsi="Times New Roman"/>
      <w:color w:val="000000" w:themeColor="text1"/>
      <w:sz w:val="28"/>
      <w:lang w:val="uk-UA"/>
    </w:rPr>
  </w:style>
  <w:style w:type="paragraph" w:styleId="1">
    <w:name w:val="heading 1"/>
    <w:basedOn w:val="a"/>
    <w:next w:val="a"/>
    <w:link w:val="10"/>
    <w:uiPriority w:val="9"/>
    <w:qFormat/>
    <w:rsid w:val="004B40EF"/>
    <w:pPr>
      <w:keepNext/>
      <w:keepLines/>
      <w:spacing w:line="240" w:lineRule="auto"/>
      <w:ind w:firstLine="0"/>
      <w:jc w:val="center"/>
      <w:outlineLvl w:val="0"/>
    </w:pPr>
    <w:rPr>
      <w:rFonts w:eastAsia="Calibri" w:cs="Calibri"/>
      <w:b/>
      <w:kern w:val="0"/>
      <w:szCs w:val="32"/>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0EF"/>
    <w:rPr>
      <w:rFonts w:ascii="Times New Roman" w:eastAsia="Calibri" w:hAnsi="Times New Roman" w:cs="Calibri"/>
      <w:b/>
      <w:color w:val="000000" w:themeColor="text1"/>
      <w:kern w:val="0"/>
      <w:sz w:val="28"/>
      <w:szCs w:val="32"/>
      <w:lang w:val="uk-UA" w:eastAsia="ru-RU"/>
      <w14:ligatures w14:val="none"/>
    </w:rPr>
  </w:style>
  <w:style w:type="paragraph" w:styleId="a3">
    <w:name w:val="Normal (Web)"/>
    <w:basedOn w:val="a"/>
    <w:uiPriority w:val="99"/>
    <w:semiHidden/>
    <w:unhideWhenUsed/>
    <w:rsid w:val="00090161"/>
    <w:pPr>
      <w:spacing w:before="100" w:beforeAutospacing="1" w:after="100" w:afterAutospacing="1" w:line="240" w:lineRule="auto"/>
      <w:ind w:firstLine="0"/>
      <w:jc w:val="left"/>
    </w:pPr>
    <w:rPr>
      <w:rFonts w:eastAsia="Times New Roman" w:cs="Times New Roman"/>
      <w:color w:val="auto"/>
      <w:kern w:val="0"/>
      <w:sz w:val="24"/>
      <w:szCs w:val="24"/>
      <w:lang w:val="ru-RU" w:eastAsia="ru-RU"/>
      <w14:ligatures w14:val="none"/>
    </w:rPr>
  </w:style>
  <w:style w:type="character" w:styleId="a4">
    <w:name w:val="Strong"/>
    <w:basedOn w:val="a0"/>
    <w:uiPriority w:val="22"/>
    <w:qFormat/>
    <w:rsid w:val="00090161"/>
    <w:rPr>
      <w:b/>
      <w:bCs/>
    </w:rPr>
  </w:style>
  <w:style w:type="paragraph" w:styleId="a5">
    <w:name w:val="List Paragraph"/>
    <w:basedOn w:val="a"/>
    <w:uiPriority w:val="34"/>
    <w:qFormat/>
    <w:rsid w:val="00A11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2037">
      <w:bodyDiv w:val="1"/>
      <w:marLeft w:val="0"/>
      <w:marRight w:val="0"/>
      <w:marTop w:val="0"/>
      <w:marBottom w:val="0"/>
      <w:divBdr>
        <w:top w:val="none" w:sz="0" w:space="0" w:color="auto"/>
        <w:left w:val="none" w:sz="0" w:space="0" w:color="auto"/>
        <w:bottom w:val="none" w:sz="0" w:space="0" w:color="auto"/>
        <w:right w:val="none" w:sz="0" w:space="0" w:color="auto"/>
      </w:divBdr>
    </w:div>
    <w:div w:id="247692527">
      <w:bodyDiv w:val="1"/>
      <w:marLeft w:val="0"/>
      <w:marRight w:val="0"/>
      <w:marTop w:val="0"/>
      <w:marBottom w:val="0"/>
      <w:divBdr>
        <w:top w:val="none" w:sz="0" w:space="0" w:color="auto"/>
        <w:left w:val="none" w:sz="0" w:space="0" w:color="auto"/>
        <w:bottom w:val="none" w:sz="0" w:space="0" w:color="auto"/>
        <w:right w:val="none" w:sz="0" w:space="0" w:color="auto"/>
      </w:divBdr>
    </w:div>
    <w:div w:id="405304624">
      <w:bodyDiv w:val="1"/>
      <w:marLeft w:val="0"/>
      <w:marRight w:val="0"/>
      <w:marTop w:val="0"/>
      <w:marBottom w:val="0"/>
      <w:divBdr>
        <w:top w:val="none" w:sz="0" w:space="0" w:color="auto"/>
        <w:left w:val="none" w:sz="0" w:space="0" w:color="auto"/>
        <w:bottom w:val="none" w:sz="0" w:space="0" w:color="auto"/>
        <w:right w:val="none" w:sz="0" w:space="0" w:color="auto"/>
      </w:divBdr>
    </w:div>
    <w:div w:id="785807356">
      <w:bodyDiv w:val="1"/>
      <w:marLeft w:val="0"/>
      <w:marRight w:val="0"/>
      <w:marTop w:val="0"/>
      <w:marBottom w:val="0"/>
      <w:divBdr>
        <w:top w:val="none" w:sz="0" w:space="0" w:color="auto"/>
        <w:left w:val="none" w:sz="0" w:space="0" w:color="auto"/>
        <w:bottom w:val="none" w:sz="0" w:space="0" w:color="auto"/>
        <w:right w:val="none" w:sz="0" w:space="0" w:color="auto"/>
      </w:divBdr>
    </w:div>
    <w:div w:id="992828311">
      <w:bodyDiv w:val="1"/>
      <w:marLeft w:val="0"/>
      <w:marRight w:val="0"/>
      <w:marTop w:val="0"/>
      <w:marBottom w:val="0"/>
      <w:divBdr>
        <w:top w:val="none" w:sz="0" w:space="0" w:color="auto"/>
        <w:left w:val="none" w:sz="0" w:space="0" w:color="auto"/>
        <w:bottom w:val="none" w:sz="0" w:space="0" w:color="auto"/>
        <w:right w:val="none" w:sz="0" w:space="0" w:color="auto"/>
      </w:divBdr>
    </w:div>
    <w:div w:id="1669555345">
      <w:bodyDiv w:val="1"/>
      <w:marLeft w:val="0"/>
      <w:marRight w:val="0"/>
      <w:marTop w:val="0"/>
      <w:marBottom w:val="0"/>
      <w:divBdr>
        <w:top w:val="none" w:sz="0" w:space="0" w:color="auto"/>
        <w:left w:val="none" w:sz="0" w:space="0" w:color="auto"/>
        <w:bottom w:val="none" w:sz="0" w:space="0" w:color="auto"/>
        <w:right w:val="none" w:sz="0" w:space="0" w:color="auto"/>
      </w:divBdr>
    </w:div>
    <w:div w:id="19649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F5AE-B846-407F-8E68-8FC85033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Степаненко</dc:creator>
  <cp:keywords/>
  <dc:description/>
  <cp:lastModifiedBy>comp</cp:lastModifiedBy>
  <cp:revision>2</cp:revision>
  <dcterms:created xsi:type="dcterms:W3CDTF">2025-10-30T21:16:00Z</dcterms:created>
  <dcterms:modified xsi:type="dcterms:W3CDTF">2025-10-30T21:16:00Z</dcterms:modified>
</cp:coreProperties>
</file>