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345AA" w14:textId="241B4EC3" w:rsidR="00EA5E3B" w:rsidRPr="00E802A0" w:rsidRDefault="00E802A0">
      <w:pPr>
        <w:spacing w:after="0" w:line="360" w:lineRule="auto"/>
        <w:ind w:firstLine="567"/>
        <w:rPr>
          <w:rFonts w:ascii="Times New Roman" w:eastAsia="SimSun" w:hAnsi="Times New Roman" w:cs="Times New Roman"/>
          <w:b/>
          <w:bCs/>
          <w:sz w:val="28"/>
          <w:szCs w:val="28"/>
          <w:lang w:val="uk" w:eastAsia="zh-CN"/>
        </w:rPr>
      </w:pPr>
      <w:r w:rsidRPr="00E802A0">
        <w:rPr>
          <w:rFonts w:ascii="Times New Roman" w:hAnsi="Times New Roman" w:cs="Times New Roman"/>
          <w:b/>
          <w:bCs/>
          <w:sz w:val="28"/>
          <w:szCs w:val="28"/>
        </w:rPr>
        <w:t>UDC</w:t>
      </w:r>
      <w:r w:rsidR="0041229A" w:rsidRPr="00E802A0">
        <w:rPr>
          <w:rFonts w:ascii="Times New Roman" w:eastAsia="SimSun" w:hAnsi="Times New Roman" w:cs="Times New Roman"/>
          <w:b/>
          <w:bCs/>
          <w:sz w:val="28"/>
          <w:szCs w:val="28"/>
          <w:lang w:val="uk" w:eastAsia="zh-CN" w:bidi="ar"/>
        </w:rPr>
        <w:t xml:space="preserve"> </w:t>
      </w:r>
      <w:r w:rsidR="0041229A" w:rsidRPr="00E802A0">
        <w:rPr>
          <w:rFonts w:ascii="Times New Roman" w:eastAsia="Calibri" w:hAnsi="Times New Roman" w:cs="Times New Roman"/>
          <w:b/>
          <w:bCs/>
          <w:sz w:val="28"/>
          <w:szCs w:val="28"/>
          <w:lang w:val="uk" w:eastAsia="zh-CN" w:bidi="ar"/>
        </w:rPr>
        <w:t>821.161.2-3:82-3=111-055.2:316.75</w:t>
      </w:r>
    </w:p>
    <w:p w14:paraId="79EA0BAB" w14:textId="77777777" w:rsidR="00E802A0" w:rsidRPr="00E802A0" w:rsidRDefault="00E802A0" w:rsidP="00E802A0">
      <w:pPr>
        <w:spacing w:after="0" w:line="360" w:lineRule="auto"/>
        <w:ind w:firstLine="567"/>
        <w:jc w:val="right"/>
        <w:rPr>
          <w:rStyle w:val="a7"/>
          <w:rFonts w:ascii="Times New Roman" w:hAnsi="Times New Roman" w:cs="Times New Roman"/>
          <w:i/>
          <w:iCs/>
          <w:sz w:val="28"/>
          <w:szCs w:val="28"/>
        </w:rPr>
      </w:pPr>
      <w:r w:rsidRPr="00E802A0">
        <w:rPr>
          <w:rStyle w:val="a7"/>
          <w:rFonts w:ascii="Times New Roman" w:hAnsi="Times New Roman" w:cs="Times New Roman"/>
          <w:i/>
          <w:iCs/>
          <w:sz w:val="28"/>
          <w:szCs w:val="28"/>
        </w:rPr>
        <w:t xml:space="preserve">N. L. </w:t>
      </w:r>
      <w:proofErr w:type="spellStart"/>
      <w:r w:rsidRPr="00E802A0">
        <w:rPr>
          <w:rStyle w:val="a7"/>
          <w:rFonts w:ascii="Times New Roman" w:hAnsi="Times New Roman" w:cs="Times New Roman"/>
          <w:i/>
          <w:iCs/>
          <w:sz w:val="28"/>
          <w:szCs w:val="28"/>
        </w:rPr>
        <w:t>Yuhan</w:t>
      </w:r>
      <w:proofErr w:type="spellEnd"/>
    </w:p>
    <w:p w14:paraId="17E632C7" w14:textId="2152A0A8" w:rsidR="00E802A0" w:rsidRPr="00E802A0" w:rsidRDefault="00E802A0" w:rsidP="00E802A0">
      <w:pPr>
        <w:spacing w:after="0" w:line="360" w:lineRule="auto"/>
        <w:ind w:firstLine="567"/>
        <w:jc w:val="right"/>
        <w:rPr>
          <w:rFonts w:ascii="Times New Roman" w:eastAsia="SimSun" w:hAnsi="Times New Roman" w:cs="Times New Roman"/>
          <w:sz w:val="28"/>
          <w:szCs w:val="28"/>
          <w:lang w:val="uk" w:eastAsia="zh-CN" w:bidi="ar"/>
        </w:rPr>
      </w:pPr>
      <w:proofErr w:type="spellStart"/>
      <w:r w:rsidRPr="00E802A0">
        <w:rPr>
          <w:rStyle w:val="a7"/>
          <w:rFonts w:ascii="Times New Roman" w:hAnsi="Times New Roman" w:cs="Times New Roman"/>
          <w:i/>
          <w:iCs/>
          <w:sz w:val="28"/>
          <w:szCs w:val="28"/>
        </w:rPr>
        <w:t>Poltava</w:t>
      </w:r>
      <w:proofErr w:type="spellEnd"/>
    </w:p>
    <w:p w14:paraId="2BC8AC75" w14:textId="03141A0B" w:rsidR="00EA5E3B" w:rsidRDefault="00EA5E3B">
      <w:pPr>
        <w:spacing w:after="0" w:line="360" w:lineRule="auto"/>
        <w:ind w:firstLine="56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/>
        </w:rPr>
      </w:pPr>
    </w:p>
    <w:p w14:paraId="3537C268" w14:textId="1B88AAA8" w:rsidR="00E802A0" w:rsidRPr="00E802A0" w:rsidRDefault="00E802A0">
      <w:pPr>
        <w:spacing w:after="0" w:line="360" w:lineRule="auto"/>
        <w:ind w:firstLine="56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en-US" w:eastAsia="zh-CN"/>
        </w:rPr>
      </w:pPr>
      <w:bookmarkStart w:id="0" w:name="_GoBack"/>
      <w:r w:rsidRPr="00E802A0">
        <w:rPr>
          <w:rFonts w:ascii="Times New Roman" w:hAnsi="Times New Roman" w:cs="Times New Roman"/>
          <w:b/>
          <w:bCs/>
          <w:sz w:val="28"/>
          <w:szCs w:val="28"/>
        </w:rPr>
        <w:t>THE FEMALE BODY AS A REPRESENTATION OF POSTCOLONIAL TRAUMA IN UKRAINIAN AND WORLD LITERATURES</w:t>
      </w:r>
    </w:p>
    <w:p w14:paraId="4FD3AED3" w14:textId="77777777" w:rsidR="00EA5E3B" w:rsidRDefault="00EA5E3B">
      <w:pPr>
        <w:spacing w:after="0" w:line="36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val="en-US" w:eastAsia="zh-CN"/>
        </w:rPr>
      </w:pPr>
    </w:p>
    <w:p w14:paraId="3191E345" w14:textId="1E173AA0" w:rsidR="007825FC" w:rsidRPr="007825FC" w:rsidRDefault="007825FC" w:rsidP="007825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issue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corporeality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occupies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central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place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contemporary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humanities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particularly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within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feminist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postcolonial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discourses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female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represented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ceases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merely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biological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category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becomes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text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culture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field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social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political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conflicts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space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memory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trauma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postcolonial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dimension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corporeality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makes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possible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comprehend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how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mechanisms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power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subjugation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resistance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reproduced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through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context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this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problem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especially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relevant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since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historical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subordination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accompanied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cultural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gender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traumatization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analysis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female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corporeality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representation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postcolonial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trauma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opens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up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perspective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rereading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female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subjectivity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between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memory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silence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bodily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narration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F3A93D5" w14:textId="4782A2D2" w:rsidR="007825FC" w:rsidRPr="007825FC" w:rsidRDefault="007825FC" w:rsidP="007825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Postcolonial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theorists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such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Gayatri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Chakravorty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Spivak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Edward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Said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Homi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Bhabha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consider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territory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domination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[1, p. 63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64, 120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122; 4, p. 206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208, 272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274; 5, p. 294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297].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essay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Can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Subaltern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Speak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?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Spivak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emphasizes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silence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subaltern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inseparable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control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over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female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sexuality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voice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[5, p. 287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289,</w:t>
      </w:r>
      <w:r w:rsidR="00060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310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311].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Judith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Butler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Julia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Kristeva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extend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this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perspective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stressing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corporeality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signification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which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social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cultural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norms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inscribed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into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flesh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[2, p. 232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233; 3, p. 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72, 208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210].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scholars</w:t>
      </w:r>
      <w:proofErr w:type="spellEnd"/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4863"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Tamara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Hundorova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Vira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Ageyeva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Oksana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Zabuzhko</w:t>
      </w:r>
      <w:proofErr w:type="spellEnd"/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4863"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interpret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female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space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wounding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retains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traces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historical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violence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while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generating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energy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decolonization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[8, p. 40</w:t>
      </w:r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45, 312</w:t>
      </w:r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316; 9, p. 190</w:t>
      </w:r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194; 10, p. 25</w:t>
      </w:r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27].</w:t>
      </w:r>
    </w:p>
    <w:p w14:paraId="53F80587" w14:textId="6E49464B" w:rsidR="007825FC" w:rsidRPr="007825FC" w:rsidRDefault="007825FC" w:rsidP="007825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Thus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postcolonial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context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becomes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metaphor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identity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fragmentation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carries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within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itself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memory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foreign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domination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same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time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strives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reclaim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its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own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voice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Through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bodily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representation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trauma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restoring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subjectivity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unfolds</w:t>
      </w:r>
      <w:proofErr w:type="spellEnd"/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4863"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object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discourse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active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participant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cultural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resistance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CB9E73" w14:textId="3820672F" w:rsidR="007825FC" w:rsidRPr="007825FC" w:rsidRDefault="007825FC" w:rsidP="007825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twentieth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twenty-first-century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female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often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appears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site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trauma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where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experiences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linguistic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gender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subjugation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intertwine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Oksana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Zabuzhko’s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novel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Fieldwork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Ukrainian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Sex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(1996),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protagonist’s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becomes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text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inscribed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history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humiliation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enslavement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resistance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corporeality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embodies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memory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pain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manifested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inner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conflict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between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desire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heard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fear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own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voice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745ECAA" w14:textId="19407AFF" w:rsidR="007825FC" w:rsidRPr="007825FC" w:rsidRDefault="007825FC" w:rsidP="007825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Similar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motifs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continue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works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contemporary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playwrights</w:t>
      </w:r>
      <w:proofErr w:type="spellEnd"/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4863"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Natalia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Vorozhbyt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Anastasiia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Kosodii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Anna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Halas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Oksana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Maslova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others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their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postdramatic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texts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heroine’s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endures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multiple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traumas</w:t>
      </w:r>
      <w:proofErr w:type="spellEnd"/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4863"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war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sexual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historical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Vorozhbyt’s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play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Bad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Roads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(2017),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female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not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only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object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violence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also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bearer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truth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about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war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embodiment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pain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occurs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through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bodily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wounds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blood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breathing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silence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Such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aesthetics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bodily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testimony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opposes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official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narrative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private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woman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who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survived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military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violence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67738C" w14:textId="1E93D0FF" w:rsidR="007825FC" w:rsidRPr="007825FC" w:rsidRDefault="007825FC" w:rsidP="007825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world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female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corporeality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also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serves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representation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racial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trauma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Toni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Morrison’s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novel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Beloved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(1987),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protagonist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Sethe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archive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slavery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vessel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memory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cannot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erased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Bodily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pain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becomes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only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form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historical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truth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resists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oblivion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Chimamanda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Ngozi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Adichie’s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Half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Yellow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Sun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(2006)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depicts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bodily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vulnerability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site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traumatic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memory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Nigeria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where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female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corporeality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simultaneously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undergoes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violence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becomes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sign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survival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65EF91" w14:textId="1F643292" w:rsidR="007825FC" w:rsidRPr="007825FC" w:rsidRDefault="007825FC" w:rsidP="007825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European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theatre</w:t>
      </w:r>
      <w:proofErr w:type="spellEnd"/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4863"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particularly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plays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Sasha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Marianna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Salzmann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Außer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sich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2017),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Yael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Ronen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Third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Generation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2008, 2019;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Situation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2015),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Katja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Brunner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Von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den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Beinen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zu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kurz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, 2015)</w:t>
      </w:r>
      <w:r w:rsidR="00E048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083F"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60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acts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political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text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which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histories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exile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displacement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intercultural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fragmentation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rewritten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postdramatic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strategies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these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authors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deconstruct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notion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coherent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="00060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083F"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60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replacing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“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decay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,”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reflecting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disintegration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identities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hierarchies</w:t>
      </w:r>
      <w:proofErr w:type="spellEnd"/>
      <w:r w:rsidR="004F2E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CF2496" w14:textId="532CD190" w:rsidR="007825FC" w:rsidRPr="007825FC" w:rsidRDefault="007825FC" w:rsidP="007825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comparative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analysis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foreign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texts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reveals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universality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postcolonial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pain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while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highlighting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specificity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context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[6</w:t>
      </w:r>
      <w:r w:rsidR="00060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60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7].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Whereas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Western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authors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trauma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often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linked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racial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ethnic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cultural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subjugation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inseparable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imperial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violence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linguistic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assimilation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wartime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all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cases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however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corporeality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becomes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memory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resists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forgetting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DDEABB" w14:textId="432C93F4" w:rsidR="007825FC" w:rsidRPr="007825FC" w:rsidRDefault="007825FC" w:rsidP="007825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example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Maria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Matios’s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novel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Sweet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Darusia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(2004)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Tsitsi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Dangarembga’s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Nervous</w:t>
      </w:r>
      <w:proofErr w:type="spellEnd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Conditions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(1989),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female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emerges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bearer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postcolonial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trauma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silent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resistance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revealing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distinct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models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violence</w:t>
      </w:r>
      <w:proofErr w:type="spellEnd"/>
      <w:r w:rsidR="00060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083F"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60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Soviet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British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Matios’s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heroine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muteness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becomes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bodily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form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protection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after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Stalinist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repressions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speaks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through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illness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silence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transforming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into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site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memory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encoded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loss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voice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identity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Dangarembga’s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novel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pressure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manifests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through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cultural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discipline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regulate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female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Tambu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cousin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Nyasha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embody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conflict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between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African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tradition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European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structures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power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Nyasha’s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anorexia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becomes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physical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sign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inner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resistance</w:t>
      </w:r>
      <w:proofErr w:type="spellEnd"/>
      <w:r w:rsidR="00060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083F"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60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bodily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protest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against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system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deprives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women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subjectivity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both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texts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which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silence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pain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disorder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replace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words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becoming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forms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resistance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violence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1EF324A" w14:textId="3A1FA84E" w:rsidR="007825FC" w:rsidRPr="007825FC" w:rsidRDefault="007825FC" w:rsidP="004F2E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female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not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only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symbol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suffering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also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space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decolonization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where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right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one’s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own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history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restored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contemporary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theatre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prose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observe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shared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tendency</w:t>
      </w:r>
      <w:proofErr w:type="spellEnd"/>
      <w:r w:rsidR="00060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083F"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60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objectification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subjectivation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woman-creator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appropriates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describing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own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turning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object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observation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into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active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participant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history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This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manifests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aesthetics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bodily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testimony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6083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characteristic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postdramatic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postcolonial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writing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F2E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Female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corporeality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contemporary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world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functions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multilayered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representation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postcolonial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trauma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integrates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experiences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violence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exile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racial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gender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discrimination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transforming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into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locus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decolonial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restoration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Through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bodily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narrative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rethinking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gender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identity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unfold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well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dismantling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hierarchies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constructed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gaze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2B24CA" w14:textId="28574C8C" w:rsidR="00EA5E3B" w:rsidRPr="004F2E71" w:rsidRDefault="007825FC" w:rsidP="004F2E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having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internalized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colonial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dependence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creates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its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own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model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bodily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memory</w:t>
      </w:r>
      <w:proofErr w:type="spellEnd"/>
      <w:r w:rsidR="00060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083F"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0608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bodily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pain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bodily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voice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from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object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subject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this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body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becomes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not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only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bearer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trauma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also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instrument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cultural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resistance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self-determination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global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context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this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experience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resonates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works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women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authors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who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reveal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corporeality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political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decolonization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feminist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resistance</w:t>
      </w:r>
      <w:proofErr w:type="spellEnd"/>
      <w:r w:rsidRPr="007825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0"/>
    <w:p w14:paraId="5F827E8C" w14:textId="30859465" w:rsidR="004F2E71" w:rsidRPr="004F2E71" w:rsidRDefault="004F2E71">
      <w:pPr>
        <w:spacing w:after="0" w:line="360" w:lineRule="auto"/>
        <w:ind w:firstLine="56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" w:eastAsia="zh-CN" w:bidi="ar"/>
        </w:rPr>
      </w:pPr>
      <w:r w:rsidRPr="004F2E71"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14:paraId="74118941" w14:textId="34929213" w:rsidR="00EA5E3B" w:rsidRDefault="0041229A">
      <w:pPr>
        <w:pStyle w:val="a5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0" w:firstLine="340"/>
        <w:contextualSpacing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</w:pPr>
      <w:hyperlink r:id="rId8" w:history="1">
        <w:proofErr w:type="spellStart"/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shd w:val="clear" w:color="auto" w:fill="FFFFFF"/>
            <w:lang w:val="uk" w:eastAsia="uk"/>
          </w:rPr>
          <w:t>Bhabha</w:t>
        </w:r>
        <w:proofErr w:type="spellEnd"/>
      </w:hyperlink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 xml:space="preserve"> H. K.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>The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 xml:space="preserve">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>Location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 xml:space="preserve">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>of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 xml:space="preserve">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>Culture</w:t>
      </w:r>
      <w:proofErr w:type="spellEnd"/>
      <w:r w:rsidR="0006083F"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 xml:space="preserve">. </w:t>
      </w:r>
      <w:proofErr w:type="spellStart"/>
      <w:r>
        <w:rPr>
          <w:rFonts w:ascii="Times New Roman" w:hAnsi="Times New Roman"/>
          <w:color w:val="0F1111"/>
          <w:sz w:val="28"/>
          <w:szCs w:val="28"/>
          <w:shd w:val="clear" w:color="auto" w:fill="FFFFFF"/>
          <w:lang w:val="uk"/>
        </w:rPr>
        <w:t>Routledge</w:t>
      </w:r>
      <w:proofErr w:type="spellEnd"/>
      <w:r>
        <w:rPr>
          <w:rFonts w:ascii="Times New Roman" w:hAnsi="Times New Roman"/>
          <w:color w:val="0F1111"/>
          <w:sz w:val="28"/>
          <w:szCs w:val="28"/>
          <w:shd w:val="clear" w:color="auto" w:fill="FFFFFF"/>
          <w:lang w:val="uk"/>
        </w:rPr>
        <w:t xml:space="preserve">, 1994. 444 р. </w:t>
      </w:r>
    </w:p>
    <w:p w14:paraId="5FCB678A" w14:textId="2BC37DC1" w:rsidR="00EA5E3B" w:rsidRDefault="0041229A">
      <w:pPr>
        <w:pStyle w:val="a5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0" w:firstLine="340"/>
        <w:contextualSpacing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</w:pPr>
      <w:hyperlink r:id="rId9" w:history="1">
        <w:proofErr w:type="spellStart"/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shd w:val="clear" w:color="auto" w:fill="FFFFFF"/>
            <w:lang w:val="uk" w:eastAsia="uk"/>
          </w:rPr>
          <w:t>Butler</w:t>
        </w:r>
        <w:proofErr w:type="spellEnd"/>
      </w:hyperlink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 xml:space="preserve"> J.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>Bodies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 xml:space="preserve">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>That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 xml:space="preserve">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>Matter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 xml:space="preserve">: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>On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 xml:space="preserve">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>the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 xml:space="preserve">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>Discursive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 xml:space="preserve">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>Limits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 xml:space="preserve">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>of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 xml:space="preserve">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  <w:t>Sex.</w:t>
      </w:r>
      <w:r>
        <w:rPr>
          <w:rFonts w:ascii="Times New Roman" w:hAnsi="Times New Roman"/>
          <w:color w:val="0F1111"/>
          <w:sz w:val="28"/>
          <w:szCs w:val="28"/>
          <w:shd w:val="clear" w:color="auto" w:fill="FFFFFF"/>
          <w:lang w:val="uk"/>
        </w:rPr>
        <w:t>Routledge</w:t>
      </w:r>
      <w:proofErr w:type="spellEnd"/>
      <w:r>
        <w:rPr>
          <w:rFonts w:ascii="Times New Roman" w:hAnsi="Times New Roman"/>
          <w:color w:val="0F1111"/>
          <w:sz w:val="28"/>
          <w:szCs w:val="28"/>
          <w:shd w:val="clear" w:color="auto" w:fill="FFFFFF"/>
          <w:lang w:val="uk"/>
        </w:rPr>
        <w:t xml:space="preserve">, 256 р. </w:t>
      </w:r>
    </w:p>
    <w:p w14:paraId="19500CC0" w14:textId="05BC1914" w:rsidR="00EA5E3B" w:rsidRDefault="0041229A">
      <w:pPr>
        <w:pStyle w:val="a5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0" w:firstLine="340"/>
        <w:contextualSpacing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Kristeva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, J. </w:t>
      </w:r>
      <w:proofErr w:type="spellStart"/>
      <w:r w:rsidRPr="0006083F">
        <w:rPr>
          <w:shd w:val="clear" w:color="auto" w:fill="FFFFFF"/>
          <w:lang w:val="uk"/>
        </w:rPr>
        <w:fldChar w:fldCharType="begin"/>
      </w:r>
      <w:r w:rsidRPr="0006083F">
        <w:rPr>
          <w:shd w:val="clear" w:color="auto" w:fill="FFFFFF"/>
          <w:lang w:val="uk"/>
        </w:rPr>
        <w:instrText xml:space="preserve"> HYPERLINK "https://books.google.com/books?id=g-NdglUBHSUC" </w:instrText>
      </w:r>
      <w:r w:rsidRPr="0006083F">
        <w:rPr>
          <w:shd w:val="clear" w:color="auto" w:fill="FFFFFF"/>
          <w:lang w:val="uk"/>
        </w:rPr>
        <w:fldChar w:fldCharType="separate"/>
      </w:r>
      <w:r w:rsidRPr="0006083F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"/>
        </w:rPr>
        <w:t>P</w:t>
      </w:r>
      <w:r w:rsidRPr="0006083F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"/>
        </w:rPr>
        <w:t>owers</w:t>
      </w:r>
      <w:proofErr w:type="spellEnd"/>
      <w:r w:rsidRPr="0006083F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"/>
        </w:rPr>
        <w:t xml:space="preserve"> </w:t>
      </w:r>
      <w:proofErr w:type="spellStart"/>
      <w:r w:rsidRPr="0006083F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"/>
        </w:rPr>
        <w:t>of</w:t>
      </w:r>
      <w:proofErr w:type="spellEnd"/>
      <w:r w:rsidRPr="0006083F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"/>
        </w:rPr>
        <w:t xml:space="preserve"> </w:t>
      </w:r>
      <w:proofErr w:type="spellStart"/>
      <w:r w:rsidRPr="0006083F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"/>
        </w:rPr>
        <w:t>Horror</w:t>
      </w:r>
      <w:proofErr w:type="spellEnd"/>
      <w:r w:rsidRPr="0006083F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"/>
        </w:rPr>
        <w:t xml:space="preserve">: </w:t>
      </w:r>
      <w:proofErr w:type="spellStart"/>
      <w:r w:rsidRPr="0006083F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"/>
        </w:rPr>
        <w:t>An</w:t>
      </w:r>
      <w:proofErr w:type="spellEnd"/>
      <w:r w:rsidRPr="0006083F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"/>
        </w:rPr>
        <w:t xml:space="preserve"> </w:t>
      </w:r>
      <w:proofErr w:type="spellStart"/>
      <w:r w:rsidRPr="0006083F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"/>
        </w:rPr>
        <w:t>Essay</w:t>
      </w:r>
      <w:proofErr w:type="spellEnd"/>
      <w:r w:rsidRPr="0006083F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"/>
        </w:rPr>
        <w:t xml:space="preserve"> </w:t>
      </w:r>
      <w:proofErr w:type="spellStart"/>
      <w:r w:rsidRPr="0006083F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"/>
        </w:rPr>
        <w:t>on</w:t>
      </w:r>
      <w:proofErr w:type="spellEnd"/>
      <w:r w:rsidRPr="0006083F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"/>
        </w:rPr>
        <w:t xml:space="preserve"> </w:t>
      </w:r>
      <w:proofErr w:type="spellStart"/>
      <w:r w:rsidRPr="0006083F">
        <w:rPr>
          <w:rStyle w:val="a4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"/>
        </w:rPr>
        <w:t>Abjection</w:t>
      </w:r>
      <w:proofErr w:type="spellEnd"/>
      <w:r w:rsidRPr="0006083F">
        <w:rPr>
          <w:shd w:val="clear" w:color="auto" w:fill="FFFFFF"/>
          <w:lang w:val="uk"/>
        </w:rPr>
        <w:fldChar w:fldCharType="end"/>
      </w:r>
      <w:r w:rsidRPr="0006083F"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1982. 236 р.</w:t>
      </w:r>
    </w:p>
    <w:p w14:paraId="2F05DFA4" w14:textId="77777777" w:rsidR="00EA5E3B" w:rsidRDefault="0041229A">
      <w:pPr>
        <w:pStyle w:val="a5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0" w:firstLine="340"/>
        <w:contextualSpacing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</w:pPr>
      <w:hyperlink r:id="rId10" w:history="1">
        <w:proofErr w:type="spellStart"/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shd w:val="clear" w:color="auto" w:fill="FFFFFF"/>
            <w:lang w:val="uk" w:eastAsia="uk"/>
          </w:rPr>
          <w:t>Said</w:t>
        </w:r>
        <w:proofErr w:type="spellEnd"/>
      </w:hyperlink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 xml:space="preserve"> E. W.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Orientalism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>Knopf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>Doubleday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>Publishing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 xml:space="preserve"> Group,1979. 432 р.</w:t>
      </w:r>
    </w:p>
    <w:p w14:paraId="0F6171C5" w14:textId="57994B28" w:rsidR="00EA5E3B" w:rsidRDefault="0041229A">
      <w:pPr>
        <w:pStyle w:val="a5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0" w:firstLine="340"/>
        <w:contextualSpacing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shd w:val="clear" w:color="auto" w:fill="FFFFFF"/>
          <w:lang w:val="uk" w:eastAsia="uk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Spivak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 G.C.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Can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the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Subaltern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Speak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?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Marxism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and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the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Interpretation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of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Culture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University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of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Illinois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Press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Urbana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, 1988. Р. 271</w:t>
      </w:r>
      <w:r w:rsidR="0006083F"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–</w:t>
      </w:r>
      <w:r w:rsidR="0006083F"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313.</w:t>
      </w:r>
    </w:p>
    <w:p w14:paraId="28564838" w14:textId="0099059E" w:rsidR="00EA5E3B" w:rsidRDefault="0041229A">
      <w:pPr>
        <w:pStyle w:val="a5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Yuhan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N</w:t>
      </w:r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Comparative Analysis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оf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Postcolonial Literature: Ukrainian, European,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аnd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American Contexts</w:t>
      </w:r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.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Рroceedings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of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the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2nd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International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Scientific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Conference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«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Current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C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hallenges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and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New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Opportunities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in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Science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and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Education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"/>
        </w:rPr>
        <w:t>»</w:t>
      </w:r>
      <w:r>
        <w:rPr>
          <w:rFonts w:ascii="Times New Roman" w:eastAsia="Times New Roman" w:hAnsi="Times New Roman"/>
          <w:i/>
          <w:iCs/>
          <w:sz w:val="28"/>
          <w:szCs w:val="28"/>
          <w:shd w:val="clear" w:color="auto" w:fill="FFFFFF"/>
          <w:lang w:val="uk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Nottingham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International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Education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Development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Cente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/>
        </w:rPr>
        <w:t>r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/>
        </w:rPr>
        <w:t xml:space="preserve">, 2025. Р. 100-104. </w:t>
      </w:r>
    </w:p>
    <w:p w14:paraId="111D41EC" w14:textId="321D48B7" w:rsidR="00EA5E3B" w:rsidRDefault="0041229A">
      <w:pPr>
        <w:pStyle w:val="a5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Yuhan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N.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Postcolonial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Narratives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and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Collective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Trauma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in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Ukrai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nian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European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and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American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Drama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: A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Comparative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>Analysis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"/>
        </w:rPr>
        <w:t xml:space="preserve">.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M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o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n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o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g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r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a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p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h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«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Theoretical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and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Practical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Application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of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the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Results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of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Modern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Science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»</w:t>
      </w:r>
      <w:r w:rsidR="004F2E71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" w:eastAsia="uk"/>
        </w:rPr>
        <w:t>2025. Р. 293-300.</w:t>
      </w:r>
    </w:p>
    <w:p w14:paraId="2A76A957" w14:textId="77777777" w:rsidR="00EA5E3B" w:rsidRDefault="0041229A">
      <w:pPr>
        <w:pStyle w:val="a5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>Агеєва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"/>
        </w:rPr>
        <w:t xml:space="preserve"> В. Жіночий простір: Феміністичний дискурс українського модернізму. К: Факт, 2008. 360 с. </w:t>
      </w:r>
    </w:p>
    <w:p w14:paraId="254B47B2" w14:textId="4010E20A" w:rsidR="00EA5E3B" w:rsidRDefault="0041229A">
      <w:pPr>
        <w:pStyle w:val="a5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"/>
        </w:rPr>
      </w:pPr>
      <w:r>
        <w:rPr>
          <w:rFonts w:ascii="Arial" w:eastAsia="Times New Roman" w:hAnsi="Arial" w:cs="Arial"/>
          <w:color w:val="202122"/>
          <w:shd w:val="clear" w:color="auto" w:fill="FFFFFF"/>
          <w:lang w:val="uk" w:eastAsia="uk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>Постколоніалізм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 xml:space="preserve">. Культура.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>Генерації</w:t>
      </w:r>
      <w:r w:rsidR="0006083F"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>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>Т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>Гундорова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>. К.</w:t>
      </w:r>
      <w:r w:rsidR="0006083F"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>: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>Laurus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" w:eastAsia="uk"/>
        </w:rPr>
        <w:t xml:space="preserve">, 2016. </w:t>
      </w:r>
    </w:p>
    <w:p w14:paraId="55A535CC" w14:textId="0C553ED9" w:rsidR="00EA5E3B" w:rsidRPr="004F2E71" w:rsidRDefault="0041229A" w:rsidP="0006083F">
      <w:pPr>
        <w:pStyle w:val="a5"/>
        <w:numPr>
          <w:ilvl w:val="0"/>
          <w:numId w:val="1"/>
        </w:numPr>
        <w:shd w:val="clear" w:color="auto" w:fill="FFFFFF"/>
        <w:spacing w:beforeAutospacing="0" w:afterAutospacing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"/>
        </w:rPr>
      </w:pPr>
      <w:r>
        <w:rPr>
          <w:rFonts w:ascii="Times New Roman" w:eastAsia="SimSun" w:hAnsi="Times New Roman"/>
          <w:sz w:val="28"/>
          <w:szCs w:val="28"/>
          <w:shd w:val="clear" w:color="auto" w:fill="FFFFFF"/>
          <w:lang w:val="ru"/>
        </w:rPr>
        <w:t xml:space="preserve">Забужко О. </w:t>
      </w:r>
      <w:proofErr w:type="spellStart"/>
      <w:r>
        <w:rPr>
          <w:rFonts w:ascii="Times New Roman" w:eastAsia="SimSun" w:hAnsi="Times New Roman"/>
          <w:sz w:val="28"/>
          <w:szCs w:val="28"/>
          <w:shd w:val="clear" w:color="auto" w:fill="FFFFFF"/>
          <w:lang w:val="ru"/>
        </w:rPr>
        <w:t>Польові</w:t>
      </w:r>
      <w:proofErr w:type="spellEnd"/>
      <w:r>
        <w:rPr>
          <w:rFonts w:ascii="Times New Roman" w:eastAsia="SimSun" w:hAnsi="Times New Roman"/>
          <w:sz w:val="28"/>
          <w:szCs w:val="28"/>
          <w:shd w:val="clear" w:color="auto" w:fill="FFFFFF"/>
          <w:lang w:val="ru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shd w:val="clear" w:color="auto" w:fill="FFFFFF"/>
          <w:lang w:val="ru"/>
        </w:rPr>
        <w:t>дослідження</w:t>
      </w:r>
      <w:proofErr w:type="spellEnd"/>
      <w:r>
        <w:rPr>
          <w:rFonts w:ascii="Times New Roman" w:eastAsia="SimSun" w:hAnsi="Times New Roman"/>
          <w:sz w:val="28"/>
          <w:szCs w:val="28"/>
          <w:shd w:val="clear" w:color="auto" w:fill="FFFFFF"/>
          <w:lang w:val="ru"/>
        </w:rPr>
        <w:t xml:space="preserve"> з </w:t>
      </w:r>
      <w:proofErr w:type="spellStart"/>
      <w:r>
        <w:rPr>
          <w:rFonts w:ascii="Times New Roman" w:eastAsia="SimSun" w:hAnsi="Times New Roman"/>
          <w:sz w:val="28"/>
          <w:szCs w:val="28"/>
          <w:shd w:val="clear" w:color="auto" w:fill="FFFFFF"/>
          <w:lang w:val="ru"/>
        </w:rPr>
        <w:t>українського</w:t>
      </w:r>
      <w:proofErr w:type="spellEnd"/>
      <w:r>
        <w:rPr>
          <w:rFonts w:ascii="Times New Roman" w:eastAsia="SimSun" w:hAnsi="Times New Roman"/>
          <w:sz w:val="28"/>
          <w:szCs w:val="28"/>
          <w:shd w:val="clear" w:color="auto" w:fill="FFFFFF"/>
          <w:lang w:val="ru"/>
        </w:rPr>
        <w:t xml:space="preserve"> сексу. К.: Факт, 1996. 141</w:t>
      </w:r>
      <w:r>
        <w:rPr>
          <w:rFonts w:ascii="Times New Roman" w:eastAsia="SimSun" w:hAnsi="Times New Roman"/>
          <w:sz w:val="28"/>
          <w:szCs w:val="28"/>
          <w:shd w:val="clear" w:color="auto" w:fill="FFFFFF"/>
          <w:lang w:val="ru"/>
        </w:rPr>
        <w:t xml:space="preserve"> с</w:t>
      </w:r>
      <w:r w:rsidR="004F2E71">
        <w:rPr>
          <w:rFonts w:ascii="Times New Roman" w:eastAsia="SimSun" w:hAnsi="Times New Roman"/>
          <w:sz w:val="28"/>
          <w:szCs w:val="28"/>
          <w:shd w:val="clear" w:color="auto" w:fill="FFFFFF"/>
          <w:lang w:val="ru"/>
        </w:rPr>
        <w:t>.</w:t>
      </w:r>
    </w:p>
    <w:sectPr w:rsidR="00EA5E3B" w:rsidRPr="004F2E7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B1E34" w14:textId="77777777" w:rsidR="0041229A" w:rsidRDefault="0041229A">
      <w:pPr>
        <w:spacing w:line="240" w:lineRule="auto"/>
      </w:pPr>
      <w:r>
        <w:separator/>
      </w:r>
    </w:p>
  </w:endnote>
  <w:endnote w:type="continuationSeparator" w:id="0">
    <w:p w14:paraId="056B867C" w14:textId="77777777" w:rsidR="0041229A" w:rsidRDefault="00412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AFED2" w14:textId="77777777" w:rsidR="0041229A" w:rsidRDefault="0041229A">
      <w:pPr>
        <w:spacing w:after="0"/>
      </w:pPr>
      <w:r>
        <w:separator/>
      </w:r>
    </w:p>
  </w:footnote>
  <w:footnote w:type="continuationSeparator" w:id="0">
    <w:p w14:paraId="02AF633D" w14:textId="77777777" w:rsidR="0041229A" w:rsidRDefault="004122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14B"/>
    <w:multiLevelType w:val="multilevel"/>
    <w:tmpl w:val="006671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4B153"/>
    <w:multiLevelType w:val="multilevel"/>
    <w:tmpl w:val="26B4B153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37"/>
    <w:rsid w:val="0006083F"/>
    <w:rsid w:val="00094298"/>
    <w:rsid w:val="002669AB"/>
    <w:rsid w:val="00361F20"/>
    <w:rsid w:val="003815BB"/>
    <w:rsid w:val="003E6458"/>
    <w:rsid w:val="0041229A"/>
    <w:rsid w:val="00456D37"/>
    <w:rsid w:val="004F2E71"/>
    <w:rsid w:val="00530D57"/>
    <w:rsid w:val="005C36C4"/>
    <w:rsid w:val="006042A8"/>
    <w:rsid w:val="006A256F"/>
    <w:rsid w:val="006B6C32"/>
    <w:rsid w:val="007825FC"/>
    <w:rsid w:val="0084105C"/>
    <w:rsid w:val="00903196"/>
    <w:rsid w:val="009C36DE"/>
    <w:rsid w:val="00AD3789"/>
    <w:rsid w:val="00B130FF"/>
    <w:rsid w:val="00B72016"/>
    <w:rsid w:val="00C3605F"/>
    <w:rsid w:val="00C85C7A"/>
    <w:rsid w:val="00E04863"/>
    <w:rsid w:val="00E802A0"/>
    <w:rsid w:val="00E81CA9"/>
    <w:rsid w:val="00EA5E3B"/>
    <w:rsid w:val="00FB28D4"/>
    <w:rsid w:val="2586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1DFF"/>
  <w15:docId w15:val="{117149E9-46D2-4C96-911C-9EF00EB3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954F72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Normal (Web)"/>
    <w:uiPriority w:val="99"/>
    <w:unhideWhenUsed/>
    <w:pPr>
      <w:spacing w:beforeAutospacing="1" w:afterAutospacing="1"/>
    </w:pPr>
    <w:rPr>
      <w:rFonts w:cs="Times New Roman"/>
      <w:sz w:val="24"/>
      <w:szCs w:val="24"/>
      <w:lang w:val="en-US" w:eastAsia="zh-C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-size-large">
    <w:name w:val="a-size-large"/>
    <w:basedOn w:val="a0"/>
  </w:style>
  <w:style w:type="character" w:customStyle="1" w:styleId="a-size-medium">
    <w:name w:val="a-size-medium"/>
    <w:basedOn w:val="a0"/>
  </w:style>
  <w:style w:type="character" w:customStyle="1" w:styleId="author">
    <w:name w:val="author"/>
    <w:basedOn w:val="a0"/>
  </w:style>
  <w:style w:type="character" w:customStyle="1" w:styleId="a-color-secondary">
    <w:name w:val="a-color-secondary"/>
    <w:basedOn w:val="a0"/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Обычная таблица1"/>
    <w:semiHidden/>
    <w:pPr>
      <w:spacing w:after="160" w:line="256" w:lineRule="auto"/>
    </w:pPr>
    <w:rPr>
      <w:rFonts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a7">
    <w:name w:val="Strong"/>
    <w:basedOn w:val="a0"/>
    <w:uiPriority w:val="22"/>
    <w:qFormat/>
    <w:rsid w:val="00E802A0"/>
    <w:rPr>
      <w:b/>
      <w:bCs/>
    </w:rPr>
  </w:style>
  <w:style w:type="character" w:styleId="a8">
    <w:name w:val="Emphasis"/>
    <w:basedOn w:val="a0"/>
    <w:uiPriority w:val="20"/>
    <w:qFormat/>
    <w:rsid w:val="007825FC"/>
    <w:rPr>
      <w:i/>
      <w:iCs/>
    </w:rPr>
  </w:style>
  <w:style w:type="character" w:customStyle="1" w:styleId="text-token-text-primary">
    <w:name w:val="text-token-text-primary"/>
    <w:basedOn w:val="a0"/>
    <w:rsid w:val="00782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Homi-K-Bhabha/e/B001IQWKDK/ref=dp_byline_cont_book_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.ua/search?hl=ru&amp;tbo=p&amp;tbm=bks&amp;q=inauthor: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Judith-Butler/e/B000APRTBI/ref=dp_byline_cont_book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3608F-1D1C-4724-AB30-3CB9C41D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5797</Words>
  <Characters>3305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 Jugan</dc:creator>
  <cp:lastModifiedBy>Nataliia Jugan</cp:lastModifiedBy>
  <cp:revision>5</cp:revision>
  <dcterms:created xsi:type="dcterms:W3CDTF">2025-10-25T23:12:00Z</dcterms:created>
  <dcterms:modified xsi:type="dcterms:W3CDTF">2025-10-26T00:06:00Z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283D9ACEDC574C698C8380533E14955F_12</vt:lpwstr>
  </property>
</Properties>
</file>