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7238" w14:textId="0AFA59BF" w:rsidR="00E25A52" w:rsidRPr="009A09D2" w:rsidRDefault="00000000" w:rsidP="009A09D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9D1">
        <w:rPr>
          <w:rFonts w:ascii="Times New Roman" w:hAnsi="Times New Roman" w:cs="Times New Roman"/>
          <w:sz w:val="28"/>
          <w:szCs w:val="28"/>
        </w:rPr>
        <w:t>УДК 81’42:81’37</w:t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09D2" w:rsidRPr="009A09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Т.В.</w:t>
      </w:r>
      <w:proofErr w:type="spellStart"/>
      <w:r w:rsidRPr="009A09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Громко</w:t>
      </w:r>
      <w:proofErr w:type="spellEnd"/>
      <w:r w:rsidR="009A09D2" w:rsidRPr="009A09D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м</w:t>
      </w:r>
      <w:r w:rsidRPr="009A09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9A09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Одеса</w:t>
      </w:r>
      <w:proofErr w:type="spellEnd"/>
    </w:p>
    <w:p w14:paraId="5E567B78" w14:textId="3E9C368A" w:rsidR="005435C6" w:rsidRPr="000729D1" w:rsidRDefault="005435C6" w:rsidP="000729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9D1">
        <w:rPr>
          <w:rFonts w:ascii="Times New Roman" w:hAnsi="Times New Roman" w:cs="Times New Roman"/>
          <w:b/>
          <w:bCs/>
          <w:sz w:val="28"/>
          <w:szCs w:val="28"/>
        </w:rPr>
        <w:t>ЕПІСТЕМІЧНІ МАРКЕРИ ЯК ВЕРБАЛЬНА МАТРИЦЯ СВІДОМОСТІ В НАУКОВОМУ ДИСКУРСІ</w:t>
      </w:r>
    </w:p>
    <w:p w14:paraId="39A43C7D" w14:textId="77777777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дискурсу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системою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простором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важливий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вербалізації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міру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сумніву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істинності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кореляцію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мовною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когнітивними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інтелектуальною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саморефлексією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40BFB9F2" w14:textId="7B61509F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D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філологічного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лексико-граматичні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репрезентацію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типу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інтерпретація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належать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рамку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  <w:r w:rsidRPr="000729D1">
        <w:rPr>
          <w:rFonts w:ascii="Times New Roman" w:hAnsi="Times New Roman" w:cs="Times New Roman"/>
          <w:sz w:val="28"/>
          <w:szCs w:val="28"/>
          <w:lang w:val="uk-UA"/>
        </w:rPr>
        <w:t xml:space="preserve"> Так, ф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ілологічна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низку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дефініцій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функціональної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, Ф.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Палмер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судження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істинності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[1, с. 27].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Лайонс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логіко-семантичну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мовною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[2, с. 112]. К.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Бойє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трактує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кодування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ментальних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упевненості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опору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[3, с. 59]. В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лінгвістичній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А.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Мартинюк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рамку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[4, с. 94]. О.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Романова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розвиваючи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типу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lastRenderedPageBreak/>
        <w:t>емпіричних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логічних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інтерпретативних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[5, с. 128].</w:t>
      </w:r>
      <w:r w:rsidRPr="00072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9D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відтак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спільним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когнітивно-мовних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моделюють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переконаності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висловлюваного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2F3BA9FC" w14:textId="0B479FF3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лексико-граматичні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сигналізують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висловлюваного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належать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лексичні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probably, evidently, certainly, obviously, perhaps, clearly, undoubtedly</w:t>
      </w:r>
      <w:r w:rsidRPr="000729D1">
        <w:rPr>
          <w:rFonts w:ascii="Times New Roman" w:hAnsi="Times New Roman" w:cs="Times New Roman"/>
          <w:sz w:val="28"/>
          <w:szCs w:val="28"/>
        </w:rPr>
        <w:t>), д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ієслівні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seem, appear, suggest, assume, believe, suppose</w:t>
      </w:r>
      <w:r w:rsidRPr="000729D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синтаксичні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it seems that..., it is likely that..., it appears as if...</w:t>
      </w:r>
      <w:r w:rsidRPr="000729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дискурсивні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to my mind, from my perspective, I would argue that</w:t>
      </w:r>
      <w:r w:rsidRPr="000729D1">
        <w:rPr>
          <w:rFonts w:ascii="Times New Roman" w:hAnsi="Times New Roman" w:cs="Times New Roman"/>
          <w:sz w:val="28"/>
          <w:szCs w:val="28"/>
        </w:rPr>
        <w:t>).</w:t>
      </w:r>
    </w:p>
    <w:p w14:paraId="39915C7D" w14:textId="4DF87E6A" w:rsidR="00301217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відповідники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імпліцитність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ймовірно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здається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припустити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очевидно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без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сумніву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видається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граматично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модифікують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організують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думку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відображаючи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стан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>Означувана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узгоджується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характером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непряма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самопрезентації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автор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схильний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категоричності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виявляючи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>т. зв. «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обережну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Ймовірно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отримані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результати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свідчать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про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нову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закономірність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Як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видається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спостережуваний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ефект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пов’язаний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із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морфологічними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змінами</w:t>
      </w:r>
      <w:proofErr w:type="spellEnd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i/>
          <w:iCs/>
          <w:sz w:val="28"/>
          <w:szCs w:val="28"/>
        </w:rPr>
        <w:t>тканин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інтерпретацій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відкритість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перегляду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епістемічному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принципу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фальсифікації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="00301217" w:rsidRPr="000729D1">
        <w:rPr>
          <w:rFonts w:ascii="Times New Roman" w:hAnsi="Times New Roman" w:cs="Times New Roman"/>
          <w:sz w:val="28"/>
          <w:szCs w:val="28"/>
        </w:rPr>
        <w:t>Поппером</w:t>
      </w:r>
      <w:proofErr w:type="spellEnd"/>
      <w:r w:rsidR="00301217" w:rsidRPr="000729D1">
        <w:rPr>
          <w:rFonts w:ascii="Times New Roman" w:hAnsi="Times New Roman" w:cs="Times New Roman"/>
          <w:sz w:val="28"/>
          <w:szCs w:val="28"/>
        </w:rPr>
        <w:t xml:space="preserve"> [9, с. 211].</w:t>
      </w:r>
    </w:p>
    <w:p w14:paraId="4D9E0737" w14:textId="2A028F7D" w:rsidR="00301217" w:rsidRPr="000729D1" w:rsidRDefault="00301217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англомовним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дискурсом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переважають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формалізовані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стандартизовані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it seems that, it is likely that, the data suggest that</w:t>
      </w:r>
      <w:r w:rsidRPr="000729D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просодичну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інтонаційний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компонент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модулювати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переконаності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явних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реченнях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Можна</w:t>
      </w:r>
      <w:proofErr w:type="spellEnd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зробити</w:t>
      </w:r>
      <w:proofErr w:type="spellEnd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висновок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явище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має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системний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характер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</w:t>
      </w:r>
      <w:proofErr w:type="spellEnd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сумніву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подальше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дослідження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поглибить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отримані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висновки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Pr="000729D1">
        <w:rPr>
          <w:rFonts w:ascii="Times New Roman" w:hAnsi="Times New Roman" w:cs="Times New Roman"/>
          <w:sz w:val="28"/>
          <w:szCs w:val="28"/>
          <w:lang w:val="uk-UA"/>
        </w:rPr>
        <w:t xml:space="preserve">виділені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індикатори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завершеності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37584DEC" w14:textId="68DA1FD2" w:rsidR="005435C6" w:rsidRPr="000729D1" w:rsidRDefault="00301217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Таким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чином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віддзеркалюють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ментальну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абсолют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динамічна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аргументована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поглядів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культурно-лінгвістичними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установками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стилістикою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3D1ADC45" w14:textId="6A7EC060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рефлексивність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фон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Гумбольдтом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[6, с. 112].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мовець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саморегуляцію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Е.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Сепір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Б.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Ворф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межах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лінгвістичної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відносності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вважали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[7, с. 54].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теза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дослідник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формулює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may indicate that, it could be assumed that</w:t>
      </w:r>
      <w:r w:rsidRPr="000729D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упевненість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(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it is clear that, without doubt</w:t>
      </w:r>
      <w:r w:rsidRPr="000729D1">
        <w:rPr>
          <w:rFonts w:ascii="Times New Roman" w:hAnsi="Times New Roman" w:cs="Times New Roman"/>
          <w:sz w:val="28"/>
          <w:szCs w:val="28"/>
        </w:rPr>
        <w:t>).</w:t>
      </w:r>
    </w:p>
    <w:p w14:paraId="58470A8B" w14:textId="1F9EBC37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Когнітивно-дискурсивна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рамку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К.</w:t>
      </w:r>
      <w:r w:rsidR="000729D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Гайленда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зазначено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metadiscursive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identity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інтелектуальну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обережність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раціональну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аргументацію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[8, с. 97].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порівнянні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тяжіє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синтаксичної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нейтральності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семантичного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підтексту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свідчити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про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...,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висновок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i/>
          <w:iCs/>
          <w:sz w:val="28"/>
          <w:szCs w:val="28"/>
        </w:rPr>
        <w:t>....</w:t>
      </w:r>
    </w:p>
    <w:p w14:paraId="661B65DA" w14:textId="764FC40E" w:rsidR="005435C6" w:rsidRPr="000729D1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зіставлення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демонструють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культурно-ментальні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вербалізації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:</w:t>
      </w:r>
      <w:r w:rsidR="00301217" w:rsidRPr="000729D1">
        <w:rPr>
          <w:rFonts w:ascii="Times New Roman" w:hAnsi="Times New Roman" w:cs="Times New Roman"/>
          <w:sz w:val="28"/>
          <w:szCs w:val="28"/>
          <w:lang w:val="uk-UA"/>
        </w:rPr>
        <w:t xml:space="preserve"> 1) 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Pr="000729D1">
        <w:rPr>
          <w:rFonts w:ascii="Times New Roman" w:hAnsi="Times New Roman" w:cs="Times New Roman"/>
          <w:i/>
          <w:iCs/>
          <w:sz w:val="28"/>
          <w:szCs w:val="28"/>
        </w:rPr>
        <w:t>It might be suggested that epistemic markers serve as indicators of authorial stance</w:t>
      </w:r>
      <w:r w:rsidRPr="000729D1">
        <w:rPr>
          <w:rFonts w:ascii="Times New Roman" w:hAnsi="Times New Roman" w:cs="Times New Roman"/>
          <w:sz w:val="28"/>
          <w:szCs w:val="28"/>
        </w:rPr>
        <w:t xml:space="preserve">. →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припустити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індикаторів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авторської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441F36DC" w14:textId="3045F126" w:rsidR="005435C6" w:rsidRPr="000729D1" w:rsidRDefault="00301217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D1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5435C6" w:rsidRPr="000729D1">
        <w:rPr>
          <w:rFonts w:ascii="Times New Roman" w:hAnsi="Times New Roman" w:cs="Times New Roman"/>
          <w:i/>
          <w:iCs/>
          <w:sz w:val="28"/>
          <w:szCs w:val="28"/>
        </w:rPr>
        <w:t>It is certain that linguistic consciousness manifests through epistemic choices</w:t>
      </w:r>
      <w:r w:rsidR="005435C6" w:rsidRPr="000729D1">
        <w:rPr>
          <w:rFonts w:ascii="Times New Roman" w:hAnsi="Times New Roman" w:cs="Times New Roman"/>
          <w:sz w:val="28"/>
          <w:szCs w:val="28"/>
        </w:rPr>
        <w:t xml:space="preserve">. →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Безперечно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свідомість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5C6" w:rsidRPr="000729D1">
        <w:rPr>
          <w:rFonts w:ascii="Times New Roman" w:hAnsi="Times New Roman" w:cs="Times New Roman"/>
          <w:sz w:val="28"/>
          <w:szCs w:val="28"/>
        </w:rPr>
        <w:t>вибори</w:t>
      </w:r>
      <w:proofErr w:type="spellEnd"/>
      <w:r w:rsidR="005435C6" w:rsidRPr="000729D1">
        <w:rPr>
          <w:rFonts w:ascii="Times New Roman" w:hAnsi="Times New Roman" w:cs="Times New Roman"/>
          <w:sz w:val="28"/>
          <w:szCs w:val="28"/>
        </w:rPr>
        <w:t>.</w:t>
      </w:r>
    </w:p>
    <w:p w14:paraId="3757E0D3" w14:textId="4C8586DD" w:rsidR="005435C6" w:rsidRDefault="005435C6" w:rsidP="000729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29D1">
        <w:rPr>
          <w:rFonts w:ascii="Times New Roman" w:hAnsi="Times New Roman" w:cs="Times New Roman"/>
          <w:sz w:val="28"/>
          <w:szCs w:val="28"/>
        </w:rPr>
        <w:lastRenderedPageBreak/>
        <w:t>Таким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чином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відображенням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дослідника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r w:rsidR="000729D1">
        <w:rPr>
          <w:rFonts w:ascii="Times New Roman" w:hAnsi="Times New Roman" w:cs="Times New Roman"/>
          <w:sz w:val="28"/>
          <w:szCs w:val="28"/>
        </w:rPr>
        <w:t>–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самоусвідомлення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граматикалізація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рефлексивного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лінгвокультурах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лексико-граматичні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інтонаційно-дискурсивні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сигналізують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упевненості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сумніву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істинності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висловленої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структуруючи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авторську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  <w:r w:rsidR="009A0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маркери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вербальні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матриці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мисленням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автора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рамку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Перспективним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перекладацьких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епістемічної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модальності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перекладах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дозволить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репрезентації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.</w:t>
      </w:r>
    </w:p>
    <w:p w14:paraId="2147D299" w14:textId="3801ABF4" w:rsidR="005435C6" w:rsidRPr="000729D1" w:rsidRDefault="000729D1" w:rsidP="009A09D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9D1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0C065174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Palmer</w:t>
      </w:r>
      <w:proofErr w:type="spellEnd"/>
      <w:r w:rsidRPr="000729D1">
        <w:rPr>
          <w:sz w:val="28"/>
          <w:szCs w:val="28"/>
        </w:rPr>
        <w:t xml:space="preserve"> F. R. </w:t>
      </w:r>
      <w:proofErr w:type="spellStart"/>
      <w:r w:rsidRPr="000729D1">
        <w:rPr>
          <w:rStyle w:val="af7"/>
          <w:sz w:val="28"/>
          <w:szCs w:val="28"/>
        </w:rPr>
        <w:t>Mood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and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Modality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gramStart"/>
      <w:r w:rsidRPr="000729D1">
        <w:rPr>
          <w:sz w:val="28"/>
          <w:szCs w:val="28"/>
        </w:rPr>
        <w:t>Cambridge :</w:t>
      </w:r>
      <w:proofErr w:type="gramEnd"/>
      <w:r w:rsidRPr="000729D1">
        <w:rPr>
          <w:sz w:val="28"/>
          <w:szCs w:val="28"/>
        </w:rPr>
        <w:t xml:space="preserve"> Cambridge University Press, 1986. – 213 p.</w:t>
      </w:r>
    </w:p>
    <w:p w14:paraId="696F79D9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Lyons</w:t>
      </w:r>
      <w:proofErr w:type="spellEnd"/>
      <w:r w:rsidRPr="000729D1">
        <w:rPr>
          <w:sz w:val="28"/>
          <w:szCs w:val="28"/>
        </w:rPr>
        <w:t xml:space="preserve"> J. </w:t>
      </w:r>
      <w:proofErr w:type="spellStart"/>
      <w:r w:rsidRPr="000729D1">
        <w:rPr>
          <w:rStyle w:val="af7"/>
          <w:sz w:val="28"/>
          <w:szCs w:val="28"/>
        </w:rPr>
        <w:t>Semantics</w:t>
      </w:r>
      <w:proofErr w:type="spellEnd"/>
      <w:r w:rsidRPr="000729D1">
        <w:rPr>
          <w:rStyle w:val="af7"/>
          <w:sz w:val="28"/>
          <w:szCs w:val="28"/>
        </w:rPr>
        <w:t xml:space="preserve">. </w:t>
      </w:r>
      <w:proofErr w:type="spellStart"/>
      <w:r w:rsidRPr="000729D1">
        <w:rPr>
          <w:rStyle w:val="af7"/>
          <w:sz w:val="28"/>
          <w:szCs w:val="28"/>
        </w:rPr>
        <w:t>Vol</w:t>
      </w:r>
      <w:proofErr w:type="spellEnd"/>
      <w:r w:rsidRPr="000729D1">
        <w:rPr>
          <w:rStyle w:val="af7"/>
          <w:sz w:val="28"/>
          <w:szCs w:val="28"/>
        </w:rPr>
        <w:t>. 2.</w:t>
      </w:r>
      <w:r w:rsidRPr="000729D1">
        <w:rPr>
          <w:sz w:val="28"/>
          <w:szCs w:val="28"/>
        </w:rPr>
        <w:t xml:space="preserve"> </w:t>
      </w:r>
      <w:proofErr w:type="gramStart"/>
      <w:r w:rsidRPr="000729D1">
        <w:rPr>
          <w:sz w:val="28"/>
          <w:szCs w:val="28"/>
        </w:rPr>
        <w:t>Cambridge :</w:t>
      </w:r>
      <w:proofErr w:type="gramEnd"/>
      <w:r w:rsidRPr="000729D1">
        <w:rPr>
          <w:sz w:val="28"/>
          <w:szCs w:val="28"/>
        </w:rPr>
        <w:t xml:space="preserve"> Cambridge University Press, 1977. – 897 p.</w:t>
      </w:r>
    </w:p>
    <w:p w14:paraId="74A26833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Boye</w:t>
      </w:r>
      <w:proofErr w:type="spellEnd"/>
      <w:r w:rsidRPr="000729D1">
        <w:rPr>
          <w:sz w:val="28"/>
          <w:szCs w:val="28"/>
        </w:rPr>
        <w:t xml:space="preserve"> K. </w:t>
      </w:r>
      <w:proofErr w:type="spellStart"/>
      <w:r w:rsidRPr="000729D1">
        <w:rPr>
          <w:rStyle w:val="af7"/>
          <w:sz w:val="28"/>
          <w:szCs w:val="28"/>
        </w:rPr>
        <w:t>Epistemic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Meaning</w:t>
      </w:r>
      <w:proofErr w:type="spellEnd"/>
      <w:r w:rsidRPr="000729D1">
        <w:rPr>
          <w:rStyle w:val="af7"/>
          <w:sz w:val="28"/>
          <w:szCs w:val="28"/>
        </w:rPr>
        <w:t xml:space="preserve">: A </w:t>
      </w:r>
      <w:proofErr w:type="spellStart"/>
      <w:r w:rsidRPr="000729D1">
        <w:rPr>
          <w:rStyle w:val="af7"/>
          <w:sz w:val="28"/>
          <w:szCs w:val="28"/>
        </w:rPr>
        <w:t>Crosslinguistic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and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Functional</w:t>
      </w:r>
      <w:proofErr w:type="spellEnd"/>
      <w:r w:rsidRPr="000729D1">
        <w:rPr>
          <w:rStyle w:val="af7"/>
          <w:sz w:val="28"/>
          <w:szCs w:val="28"/>
        </w:rPr>
        <w:t>-Cognitive Study.</w:t>
      </w:r>
      <w:r w:rsidRPr="000729D1">
        <w:rPr>
          <w:sz w:val="28"/>
          <w:szCs w:val="28"/>
        </w:rPr>
        <w:t xml:space="preserve"> </w:t>
      </w:r>
      <w:proofErr w:type="gramStart"/>
      <w:r w:rsidRPr="000729D1">
        <w:rPr>
          <w:sz w:val="28"/>
          <w:szCs w:val="28"/>
        </w:rPr>
        <w:t>Berlin :</w:t>
      </w:r>
      <w:proofErr w:type="gram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Mouton</w:t>
      </w:r>
      <w:proofErr w:type="spell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de</w:t>
      </w:r>
      <w:proofErr w:type="spell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Gruyter</w:t>
      </w:r>
      <w:proofErr w:type="spellEnd"/>
      <w:r w:rsidRPr="000729D1">
        <w:rPr>
          <w:sz w:val="28"/>
          <w:szCs w:val="28"/>
        </w:rPr>
        <w:t>, 2012. – 384 p.</w:t>
      </w:r>
    </w:p>
    <w:p w14:paraId="15845BB9" w14:textId="0770D9DB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Мартинюк</w:t>
      </w:r>
      <w:proofErr w:type="spellEnd"/>
      <w:r w:rsidRPr="000729D1">
        <w:rPr>
          <w:sz w:val="28"/>
          <w:szCs w:val="28"/>
        </w:rPr>
        <w:t xml:space="preserve"> А. П. </w:t>
      </w:r>
      <w:proofErr w:type="spellStart"/>
      <w:r w:rsidRPr="000729D1">
        <w:rPr>
          <w:rStyle w:val="af7"/>
          <w:sz w:val="28"/>
          <w:szCs w:val="28"/>
        </w:rPr>
        <w:t>Модальність</w:t>
      </w:r>
      <w:proofErr w:type="spellEnd"/>
      <w:r w:rsidRPr="000729D1">
        <w:rPr>
          <w:rStyle w:val="af7"/>
          <w:sz w:val="28"/>
          <w:szCs w:val="28"/>
        </w:rPr>
        <w:t xml:space="preserve"> у </w:t>
      </w:r>
      <w:proofErr w:type="spellStart"/>
      <w:r w:rsidRPr="000729D1">
        <w:rPr>
          <w:rStyle w:val="af7"/>
          <w:sz w:val="28"/>
          <w:szCs w:val="28"/>
        </w:rPr>
        <w:t>сучасній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українській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мові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spellStart"/>
      <w:proofErr w:type="gramStart"/>
      <w:r w:rsidRPr="000729D1">
        <w:rPr>
          <w:sz w:val="28"/>
          <w:szCs w:val="28"/>
        </w:rPr>
        <w:t>Київ</w:t>
      </w:r>
      <w:proofErr w:type="spellEnd"/>
      <w:r w:rsidR="009A09D2">
        <w:rPr>
          <w:sz w:val="28"/>
          <w:szCs w:val="28"/>
          <w:lang w:val="uk-UA"/>
        </w:rPr>
        <w:t> </w:t>
      </w:r>
      <w:r w:rsidRPr="000729D1">
        <w:rPr>
          <w:sz w:val="28"/>
          <w:szCs w:val="28"/>
        </w:rPr>
        <w:t>:</w:t>
      </w:r>
      <w:proofErr w:type="gram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Видавництво</w:t>
      </w:r>
      <w:proofErr w:type="spell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Київського</w:t>
      </w:r>
      <w:proofErr w:type="spell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університету</w:t>
      </w:r>
      <w:proofErr w:type="spellEnd"/>
      <w:r w:rsidRPr="000729D1">
        <w:rPr>
          <w:sz w:val="28"/>
          <w:szCs w:val="28"/>
        </w:rPr>
        <w:t>, 2010. – 320 с.</w:t>
      </w:r>
    </w:p>
    <w:p w14:paraId="11BF90F7" w14:textId="752D8BAB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729D1">
        <w:rPr>
          <w:sz w:val="28"/>
          <w:szCs w:val="28"/>
        </w:rPr>
        <w:t xml:space="preserve">Романова О. І. </w:t>
      </w:r>
      <w:proofErr w:type="spellStart"/>
      <w:r w:rsidRPr="000729D1">
        <w:rPr>
          <w:rStyle w:val="af7"/>
          <w:sz w:val="28"/>
          <w:szCs w:val="28"/>
        </w:rPr>
        <w:t>Епістемічна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модальність</w:t>
      </w:r>
      <w:proofErr w:type="spellEnd"/>
      <w:r w:rsidRPr="000729D1">
        <w:rPr>
          <w:rStyle w:val="af7"/>
          <w:sz w:val="28"/>
          <w:szCs w:val="28"/>
        </w:rPr>
        <w:t xml:space="preserve"> у </w:t>
      </w:r>
      <w:proofErr w:type="spellStart"/>
      <w:r w:rsidRPr="000729D1">
        <w:rPr>
          <w:rStyle w:val="af7"/>
          <w:sz w:val="28"/>
          <w:szCs w:val="28"/>
        </w:rPr>
        <w:t>науковому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дискурсі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spellStart"/>
      <w:proofErr w:type="gramStart"/>
      <w:r w:rsidRPr="000729D1">
        <w:rPr>
          <w:sz w:val="28"/>
          <w:szCs w:val="28"/>
        </w:rPr>
        <w:t>Львів</w:t>
      </w:r>
      <w:proofErr w:type="spellEnd"/>
      <w:r w:rsidRPr="000729D1">
        <w:rPr>
          <w:sz w:val="28"/>
          <w:szCs w:val="28"/>
        </w:rPr>
        <w:t xml:space="preserve"> :</w:t>
      </w:r>
      <w:proofErr w:type="gramEnd"/>
      <w:r w:rsidRPr="000729D1">
        <w:rPr>
          <w:sz w:val="28"/>
          <w:szCs w:val="28"/>
        </w:rPr>
        <w:t xml:space="preserve"> ЛНУ </w:t>
      </w:r>
      <w:proofErr w:type="spellStart"/>
      <w:r w:rsidRPr="000729D1">
        <w:rPr>
          <w:sz w:val="28"/>
          <w:szCs w:val="28"/>
        </w:rPr>
        <w:t>ім</w:t>
      </w:r>
      <w:proofErr w:type="spellEnd"/>
      <w:r w:rsidRPr="000729D1">
        <w:rPr>
          <w:sz w:val="28"/>
          <w:szCs w:val="28"/>
        </w:rPr>
        <w:t>. І.</w:t>
      </w:r>
      <w:r w:rsidR="009A09D2">
        <w:rPr>
          <w:sz w:val="28"/>
          <w:szCs w:val="28"/>
          <w:lang w:val="uk-UA"/>
        </w:rPr>
        <w:t> </w:t>
      </w:r>
      <w:r w:rsidRPr="000729D1">
        <w:rPr>
          <w:sz w:val="28"/>
          <w:szCs w:val="28"/>
        </w:rPr>
        <w:t>Франка, 2020. – 248 с.</w:t>
      </w:r>
    </w:p>
    <w:p w14:paraId="1488A195" w14:textId="072939BB" w:rsidR="00301217" w:rsidRPr="000729D1" w:rsidRDefault="00301217" w:rsidP="009A09D2">
      <w:pPr>
        <w:pStyle w:val="ae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9D1">
        <w:rPr>
          <w:rFonts w:ascii="Times New Roman" w:hAnsi="Times New Roman" w:cs="Times New Roman"/>
          <w:sz w:val="28"/>
          <w:szCs w:val="28"/>
        </w:rPr>
        <w:t xml:space="preserve">Humboldt W. von.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Über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den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Unterschied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menschlichen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Sprachbaues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und seinen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Einfluss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auf die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geistige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Entwicklung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 xml:space="preserve"> der </w:t>
      </w:r>
      <w:proofErr w:type="spellStart"/>
      <w:r w:rsidRPr="000729D1">
        <w:rPr>
          <w:rStyle w:val="af7"/>
          <w:rFonts w:ascii="Times New Roman" w:hAnsi="Times New Roman" w:cs="Times New Roman"/>
          <w:sz w:val="28"/>
          <w:szCs w:val="28"/>
        </w:rPr>
        <w:t>Menschheit</w:t>
      </w:r>
      <w:proofErr w:type="spellEnd"/>
      <w:r w:rsidRPr="000729D1">
        <w:rPr>
          <w:rStyle w:val="af7"/>
          <w:rFonts w:ascii="Times New Roman" w:hAnsi="Times New Roman" w:cs="Times New Roman"/>
          <w:sz w:val="28"/>
          <w:szCs w:val="28"/>
        </w:rPr>
        <w:t>.</w:t>
      </w:r>
      <w:r w:rsidRPr="00072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9D1">
        <w:rPr>
          <w:rFonts w:ascii="Times New Roman" w:hAnsi="Times New Roman" w:cs="Times New Roman"/>
          <w:sz w:val="28"/>
          <w:szCs w:val="28"/>
        </w:rPr>
        <w:t>Berlin :</w:t>
      </w:r>
      <w:proofErr w:type="gramEnd"/>
      <w:r w:rsidRPr="000729D1">
        <w:rPr>
          <w:rFonts w:ascii="Times New Roman" w:hAnsi="Times New Roman" w:cs="Times New Roman"/>
          <w:sz w:val="28"/>
          <w:szCs w:val="28"/>
        </w:rPr>
        <w:t xml:space="preserve"> Verlag der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Königl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 xml:space="preserve">. Preuß. Akademie der </w:t>
      </w:r>
      <w:proofErr w:type="spellStart"/>
      <w:r w:rsidRPr="000729D1">
        <w:rPr>
          <w:rFonts w:ascii="Times New Roman" w:hAnsi="Times New Roman" w:cs="Times New Roman"/>
          <w:sz w:val="28"/>
          <w:szCs w:val="28"/>
        </w:rPr>
        <w:t>Wissenschaften</w:t>
      </w:r>
      <w:proofErr w:type="spellEnd"/>
      <w:r w:rsidRPr="000729D1">
        <w:rPr>
          <w:rFonts w:ascii="Times New Roman" w:hAnsi="Times New Roman" w:cs="Times New Roman"/>
          <w:sz w:val="28"/>
          <w:szCs w:val="28"/>
        </w:rPr>
        <w:t>, 1836. – 318 S</w:t>
      </w:r>
      <w:r w:rsidRPr="000729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2B553A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Сепір</w:t>
      </w:r>
      <w:proofErr w:type="spellEnd"/>
      <w:r w:rsidRPr="000729D1">
        <w:rPr>
          <w:sz w:val="28"/>
          <w:szCs w:val="28"/>
        </w:rPr>
        <w:t xml:space="preserve"> Е. </w:t>
      </w:r>
      <w:r w:rsidRPr="000729D1">
        <w:rPr>
          <w:rStyle w:val="af7"/>
          <w:sz w:val="28"/>
          <w:szCs w:val="28"/>
        </w:rPr>
        <w:t xml:space="preserve">Мова. </w:t>
      </w:r>
      <w:proofErr w:type="spellStart"/>
      <w:r w:rsidRPr="000729D1">
        <w:rPr>
          <w:rStyle w:val="af7"/>
          <w:sz w:val="28"/>
          <w:szCs w:val="28"/>
        </w:rPr>
        <w:t>Вибрані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праці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spellStart"/>
      <w:proofErr w:type="gramStart"/>
      <w:r w:rsidRPr="000729D1">
        <w:rPr>
          <w:sz w:val="28"/>
          <w:szCs w:val="28"/>
        </w:rPr>
        <w:t>Київ</w:t>
      </w:r>
      <w:proofErr w:type="spellEnd"/>
      <w:r w:rsidRPr="000729D1">
        <w:rPr>
          <w:sz w:val="28"/>
          <w:szCs w:val="28"/>
        </w:rPr>
        <w:t xml:space="preserve"> :</w:t>
      </w:r>
      <w:proofErr w:type="gram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Юніверс</w:t>
      </w:r>
      <w:proofErr w:type="spellEnd"/>
      <w:r w:rsidRPr="000729D1">
        <w:rPr>
          <w:sz w:val="28"/>
          <w:szCs w:val="28"/>
        </w:rPr>
        <w:t>, 2001. – 320 с.</w:t>
      </w:r>
    </w:p>
    <w:p w14:paraId="157157AE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0729D1">
        <w:rPr>
          <w:sz w:val="28"/>
          <w:szCs w:val="28"/>
        </w:rPr>
        <w:t>Hyland</w:t>
      </w:r>
      <w:proofErr w:type="spellEnd"/>
      <w:r w:rsidRPr="000729D1">
        <w:rPr>
          <w:sz w:val="28"/>
          <w:szCs w:val="28"/>
        </w:rPr>
        <w:t xml:space="preserve"> K. </w:t>
      </w:r>
      <w:proofErr w:type="spellStart"/>
      <w:r w:rsidRPr="000729D1">
        <w:rPr>
          <w:rStyle w:val="af7"/>
          <w:sz w:val="28"/>
          <w:szCs w:val="28"/>
        </w:rPr>
        <w:t>Metadiscourse</w:t>
      </w:r>
      <w:proofErr w:type="spellEnd"/>
      <w:r w:rsidRPr="000729D1">
        <w:rPr>
          <w:rStyle w:val="af7"/>
          <w:sz w:val="28"/>
          <w:szCs w:val="28"/>
        </w:rPr>
        <w:t xml:space="preserve">: </w:t>
      </w:r>
      <w:proofErr w:type="spellStart"/>
      <w:r w:rsidRPr="000729D1">
        <w:rPr>
          <w:rStyle w:val="af7"/>
          <w:sz w:val="28"/>
          <w:szCs w:val="28"/>
        </w:rPr>
        <w:t>Exploring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Interaction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in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Writing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gramStart"/>
      <w:r w:rsidRPr="000729D1">
        <w:rPr>
          <w:sz w:val="28"/>
          <w:szCs w:val="28"/>
        </w:rPr>
        <w:t>London :</w:t>
      </w:r>
      <w:proofErr w:type="gram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Bloomsbury</w:t>
      </w:r>
      <w:proofErr w:type="spellEnd"/>
      <w:r w:rsidRPr="000729D1">
        <w:rPr>
          <w:sz w:val="28"/>
          <w:szCs w:val="28"/>
        </w:rPr>
        <w:t>, 2017. – 224 p.</w:t>
      </w:r>
    </w:p>
    <w:p w14:paraId="383D7E3C" w14:textId="77777777" w:rsidR="00301217" w:rsidRPr="000729D1" w:rsidRDefault="00301217" w:rsidP="009A09D2">
      <w:pPr>
        <w:pStyle w:val="aff8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729D1">
        <w:rPr>
          <w:sz w:val="28"/>
          <w:szCs w:val="28"/>
        </w:rPr>
        <w:t xml:space="preserve">Поппер К. </w:t>
      </w:r>
      <w:proofErr w:type="spellStart"/>
      <w:r w:rsidRPr="000729D1">
        <w:rPr>
          <w:rStyle w:val="af7"/>
          <w:sz w:val="28"/>
          <w:szCs w:val="28"/>
        </w:rPr>
        <w:t>Логіка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наукового</w:t>
      </w:r>
      <w:proofErr w:type="spellEnd"/>
      <w:r w:rsidRPr="000729D1">
        <w:rPr>
          <w:rStyle w:val="af7"/>
          <w:sz w:val="28"/>
          <w:szCs w:val="28"/>
        </w:rPr>
        <w:t xml:space="preserve"> </w:t>
      </w:r>
      <w:proofErr w:type="spellStart"/>
      <w:r w:rsidRPr="000729D1">
        <w:rPr>
          <w:rStyle w:val="af7"/>
          <w:sz w:val="28"/>
          <w:szCs w:val="28"/>
        </w:rPr>
        <w:t>відкриття</w:t>
      </w:r>
      <w:proofErr w:type="spellEnd"/>
      <w:r w:rsidRPr="000729D1">
        <w:rPr>
          <w:rStyle w:val="af7"/>
          <w:sz w:val="28"/>
          <w:szCs w:val="28"/>
        </w:rPr>
        <w:t>.</w:t>
      </w:r>
      <w:r w:rsidRPr="000729D1">
        <w:rPr>
          <w:sz w:val="28"/>
          <w:szCs w:val="28"/>
        </w:rPr>
        <w:t xml:space="preserve"> </w:t>
      </w:r>
      <w:proofErr w:type="spellStart"/>
      <w:proofErr w:type="gramStart"/>
      <w:r w:rsidRPr="000729D1">
        <w:rPr>
          <w:sz w:val="28"/>
          <w:szCs w:val="28"/>
        </w:rPr>
        <w:t>Київ</w:t>
      </w:r>
      <w:proofErr w:type="spellEnd"/>
      <w:r w:rsidRPr="000729D1">
        <w:rPr>
          <w:sz w:val="28"/>
          <w:szCs w:val="28"/>
        </w:rPr>
        <w:t xml:space="preserve"> :</w:t>
      </w:r>
      <w:proofErr w:type="gramEnd"/>
      <w:r w:rsidRPr="000729D1">
        <w:rPr>
          <w:sz w:val="28"/>
          <w:szCs w:val="28"/>
        </w:rPr>
        <w:t xml:space="preserve"> </w:t>
      </w:r>
      <w:proofErr w:type="spellStart"/>
      <w:r w:rsidRPr="000729D1">
        <w:rPr>
          <w:sz w:val="28"/>
          <w:szCs w:val="28"/>
        </w:rPr>
        <w:t>Основи</w:t>
      </w:r>
      <w:proofErr w:type="spellEnd"/>
      <w:r w:rsidRPr="000729D1">
        <w:rPr>
          <w:sz w:val="28"/>
          <w:szCs w:val="28"/>
        </w:rPr>
        <w:t>, 1994. – 480 с.</w:t>
      </w:r>
    </w:p>
    <w:sectPr w:rsidR="00301217" w:rsidRPr="000729D1" w:rsidSect="009A09D2">
      <w:pgSz w:w="12240" w:h="15840"/>
      <w:pgMar w:top="1440" w:right="1041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381EAD"/>
    <w:multiLevelType w:val="multilevel"/>
    <w:tmpl w:val="2E3A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94432">
    <w:abstractNumId w:val="8"/>
  </w:num>
  <w:num w:numId="2" w16cid:durableId="1315720025">
    <w:abstractNumId w:val="6"/>
  </w:num>
  <w:num w:numId="3" w16cid:durableId="123085393">
    <w:abstractNumId w:val="5"/>
  </w:num>
  <w:num w:numId="4" w16cid:durableId="136462095">
    <w:abstractNumId w:val="4"/>
  </w:num>
  <w:num w:numId="5" w16cid:durableId="1785535518">
    <w:abstractNumId w:val="7"/>
  </w:num>
  <w:num w:numId="6" w16cid:durableId="1536574408">
    <w:abstractNumId w:val="3"/>
  </w:num>
  <w:num w:numId="7" w16cid:durableId="1454060779">
    <w:abstractNumId w:val="2"/>
  </w:num>
  <w:num w:numId="8" w16cid:durableId="1140195636">
    <w:abstractNumId w:val="1"/>
  </w:num>
  <w:num w:numId="9" w16cid:durableId="779957393">
    <w:abstractNumId w:val="0"/>
  </w:num>
  <w:num w:numId="10" w16cid:durableId="2113697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9D1"/>
    <w:rsid w:val="0015074B"/>
    <w:rsid w:val="0026413A"/>
    <w:rsid w:val="0029639D"/>
    <w:rsid w:val="00301217"/>
    <w:rsid w:val="00326F90"/>
    <w:rsid w:val="005435C6"/>
    <w:rsid w:val="0054424A"/>
    <w:rsid w:val="0061127B"/>
    <w:rsid w:val="009A09D2"/>
    <w:rsid w:val="00AA1D8D"/>
    <w:rsid w:val="00B47730"/>
    <w:rsid w:val="00B652D3"/>
    <w:rsid w:val="00CB0664"/>
    <w:rsid w:val="00E25A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5E17B"/>
  <w14:defaultImageDpi w14:val="300"/>
  <w15:docId w15:val="{D332ED2F-8DCA-4FBB-B975-3EBF462B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61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Таня</cp:lastModifiedBy>
  <cp:revision>3</cp:revision>
  <dcterms:created xsi:type="dcterms:W3CDTF">2025-10-20T13:24:00Z</dcterms:created>
  <dcterms:modified xsi:type="dcterms:W3CDTF">2025-10-20T14:21:00Z</dcterms:modified>
  <cp:category/>
</cp:coreProperties>
</file>