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96DC" w14:textId="5F6437F6" w:rsidR="003F0B24" w:rsidRDefault="00A543E8">
      <w:pPr>
        <w:pStyle w:val="MainTitle"/>
        <w:spacing w:line="276" w:lineRule="auto"/>
        <w:rPr>
          <w:sz w:val="28"/>
          <w:szCs w:val="28"/>
        </w:rPr>
      </w:pPr>
      <w:r w:rsidRPr="00A543E8">
        <w:rPr>
          <w:sz w:val="28"/>
          <w:szCs w:val="28"/>
        </w:rPr>
        <w:t>Selenium-</w:t>
      </w:r>
      <w:r>
        <w:rPr>
          <w:sz w:val="28"/>
          <w:szCs w:val="28"/>
          <w:lang w:val="en-US"/>
        </w:rPr>
        <w:t>Modified</w:t>
      </w:r>
      <w:r w:rsidRPr="00A543E8">
        <w:rPr>
          <w:sz w:val="28"/>
          <w:szCs w:val="28"/>
        </w:rPr>
        <w:t xml:space="preserve"> Microgels: Novel Catalysts for Cross-Phase Oxidation of Aromatic Aldehydes</w:t>
      </w:r>
    </w:p>
    <w:p w14:paraId="51EF4D5D" w14:textId="3159F72B" w:rsidR="003F0B24" w:rsidRDefault="00A543E8">
      <w:pPr>
        <w:pStyle w:val="Author"/>
        <w:spacing w:line="276" w:lineRule="auto"/>
        <w:rPr>
          <w:sz w:val="26"/>
          <w:szCs w:val="26"/>
          <w:lang w:val="en-US"/>
        </w:rPr>
      </w:pPr>
      <w:r w:rsidRPr="00A543E8">
        <w:rPr>
          <w:sz w:val="26"/>
          <w:szCs w:val="26"/>
          <w:u w:val="single"/>
          <w:lang w:val="en-US"/>
        </w:rPr>
        <w:t>Anastasiia Pavliuk</w:t>
      </w:r>
      <w:r w:rsidRPr="00A543E8">
        <w:rPr>
          <w:sz w:val="26"/>
          <w:szCs w:val="26"/>
          <w:vertAlign w:val="superscript"/>
          <w:lang w:val="en-US"/>
        </w:rPr>
        <w:t>1</w:t>
      </w:r>
      <w:r w:rsidRPr="00A543E8">
        <w:rPr>
          <w:sz w:val="26"/>
          <w:szCs w:val="26"/>
          <w:lang w:val="en-US"/>
        </w:rPr>
        <w:t>, Oliver Fiukowski</w:t>
      </w:r>
      <w:r w:rsidRPr="00A543E8">
        <w:rPr>
          <w:sz w:val="26"/>
          <w:szCs w:val="26"/>
          <w:vertAlign w:val="superscript"/>
          <w:lang w:val="en-US"/>
        </w:rPr>
        <w:t>2</w:t>
      </w:r>
      <w:r w:rsidRPr="00A543E8">
        <w:rPr>
          <w:sz w:val="26"/>
          <w:szCs w:val="26"/>
          <w:lang w:val="en-US"/>
        </w:rPr>
        <w:t>, Volodymyr Ivasiv</w:t>
      </w:r>
      <w:r>
        <w:rPr>
          <w:sz w:val="26"/>
          <w:szCs w:val="26"/>
          <w:vertAlign w:val="superscript"/>
          <w:lang w:val="en-US"/>
        </w:rPr>
        <w:t>3</w:t>
      </w:r>
      <w:r w:rsidRPr="00A543E8">
        <w:rPr>
          <w:sz w:val="26"/>
          <w:szCs w:val="26"/>
          <w:lang w:val="en-US"/>
        </w:rPr>
        <w:t>, Roman Nebesnyi</w:t>
      </w:r>
      <w:r>
        <w:rPr>
          <w:sz w:val="26"/>
          <w:szCs w:val="26"/>
          <w:vertAlign w:val="superscript"/>
          <w:lang w:val="en-US"/>
        </w:rPr>
        <w:t>4</w:t>
      </w:r>
      <w:r w:rsidRPr="00A543E8">
        <w:rPr>
          <w:sz w:val="26"/>
          <w:szCs w:val="26"/>
          <w:lang w:val="en-US"/>
        </w:rPr>
        <w:t>, Andrij Pich</w:t>
      </w:r>
      <w:r>
        <w:rPr>
          <w:sz w:val="26"/>
          <w:szCs w:val="26"/>
          <w:vertAlign w:val="superscript"/>
          <w:lang w:val="en-US"/>
        </w:rPr>
        <w:t>5</w:t>
      </w:r>
    </w:p>
    <w:p w14:paraId="6477C1A6" w14:textId="49BF0CEE" w:rsidR="003F0B24" w:rsidRDefault="00000000">
      <w:pPr>
        <w:pStyle w:val="Affilation"/>
        <w:spacing w:line="276" w:lineRule="auto"/>
        <w:rPr>
          <w:sz w:val="20"/>
        </w:rPr>
      </w:pPr>
      <w:r>
        <w:rPr>
          <w:sz w:val="20"/>
        </w:rPr>
        <w:t xml:space="preserve">1. </w:t>
      </w:r>
      <w:r w:rsidR="00A543E8" w:rsidRPr="00A543E8">
        <w:rPr>
          <w:sz w:val="20"/>
          <w:lang w:val="en-US"/>
        </w:rPr>
        <w:t>Department of Technology of organic products, Lviv Polytechnic National University, UKRAINE, Lviv, S.</w:t>
      </w:r>
      <w:r w:rsidR="00A543E8">
        <w:rPr>
          <w:sz w:val="20"/>
          <w:lang w:val="en-US"/>
        </w:rPr>
        <w:t> </w:t>
      </w:r>
      <w:r w:rsidR="00A543E8" w:rsidRPr="00A543E8">
        <w:rPr>
          <w:sz w:val="20"/>
          <w:lang w:val="en-US"/>
        </w:rPr>
        <w:t>Bandery street 12, E-mail: anastasiia.s.pavliuk@lpnu.ua</w:t>
      </w:r>
    </w:p>
    <w:p w14:paraId="614CE77A" w14:textId="167F138F" w:rsidR="003F0B24" w:rsidRDefault="00000000">
      <w:pPr>
        <w:pStyle w:val="Affilation"/>
        <w:spacing w:line="276" w:lineRule="auto"/>
        <w:rPr>
          <w:sz w:val="20"/>
          <w:shd w:val="clear" w:color="auto" w:fill="FFFFFF"/>
          <w:lang w:val="en-US"/>
        </w:rPr>
      </w:pPr>
      <w:r>
        <w:rPr>
          <w:sz w:val="20"/>
        </w:rPr>
        <w:t xml:space="preserve">2. </w:t>
      </w:r>
      <w:r w:rsidR="00A543E8" w:rsidRPr="00A543E8">
        <w:rPr>
          <w:sz w:val="20"/>
          <w:lang w:val="en-US"/>
        </w:rPr>
        <w:t xml:space="preserve">DWI - Leibniz Institute for Interactive Materials, GERMANY, Aachen, Forckenbeckstraße 50, </w:t>
      </w:r>
      <w:r>
        <w:rPr>
          <w:sz w:val="20"/>
        </w:rPr>
        <w:t xml:space="preserve">E-mail: </w:t>
      </w:r>
      <w:r w:rsidR="00A543E8" w:rsidRPr="00A543E8">
        <w:rPr>
          <w:sz w:val="20"/>
          <w:lang w:val="en-US"/>
        </w:rPr>
        <w:t>fiukowski@dwi.rwth-aachen.de</w:t>
      </w:r>
    </w:p>
    <w:p w14:paraId="77F48AC9" w14:textId="6A147158" w:rsidR="00A543E8" w:rsidRDefault="00A543E8" w:rsidP="00A543E8">
      <w:pPr>
        <w:pStyle w:val="Affilation"/>
        <w:spacing w:line="276" w:lineRule="auto"/>
        <w:rPr>
          <w:sz w:val="20"/>
        </w:rPr>
      </w:pPr>
      <w:r>
        <w:rPr>
          <w:sz w:val="20"/>
          <w:lang w:val="en-US"/>
        </w:rPr>
        <w:t>3</w:t>
      </w:r>
      <w:r>
        <w:rPr>
          <w:sz w:val="20"/>
        </w:rPr>
        <w:t xml:space="preserve">. </w:t>
      </w:r>
      <w:r w:rsidRPr="00A543E8">
        <w:rPr>
          <w:sz w:val="20"/>
          <w:lang w:val="en-US"/>
        </w:rPr>
        <w:t>Department of Technology of organic products, Lviv Polytechnic National University, UKRAINE, Lviv, S.</w:t>
      </w:r>
      <w:r>
        <w:rPr>
          <w:sz w:val="20"/>
          <w:lang w:val="en-US"/>
        </w:rPr>
        <w:t> </w:t>
      </w:r>
      <w:r w:rsidRPr="00A543E8">
        <w:rPr>
          <w:sz w:val="20"/>
          <w:lang w:val="en-US"/>
        </w:rPr>
        <w:t>Bandery street 12, E-mail: volodymyr.v.ivasiv@lpnu.ua</w:t>
      </w:r>
    </w:p>
    <w:p w14:paraId="43F9C403" w14:textId="1647ACC2" w:rsidR="00A543E8" w:rsidRDefault="00A543E8" w:rsidP="00A543E8">
      <w:pPr>
        <w:pStyle w:val="Affilation"/>
        <w:spacing w:line="276" w:lineRule="auto"/>
        <w:rPr>
          <w:sz w:val="20"/>
        </w:rPr>
      </w:pPr>
      <w:r>
        <w:rPr>
          <w:sz w:val="20"/>
          <w:lang w:val="en-US"/>
        </w:rPr>
        <w:t>4</w:t>
      </w:r>
      <w:r>
        <w:rPr>
          <w:sz w:val="20"/>
        </w:rPr>
        <w:t xml:space="preserve">. </w:t>
      </w:r>
      <w:r w:rsidRPr="00A543E8">
        <w:rPr>
          <w:sz w:val="20"/>
          <w:lang w:val="en-US"/>
        </w:rPr>
        <w:t>Department of Technology of organic products, Lviv Polytechnic National University, UKRAINE, Lviv, S.</w:t>
      </w:r>
      <w:r>
        <w:rPr>
          <w:sz w:val="20"/>
          <w:lang w:val="en-US"/>
        </w:rPr>
        <w:t> </w:t>
      </w:r>
      <w:r w:rsidRPr="00A543E8">
        <w:rPr>
          <w:sz w:val="20"/>
          <w:lang w:val="en-US"/>
        </w:rPr>
        <w:t>Bandery street 12, E-mail: roman.v.nebesnyi@lpnu.ua</w:t>
      </w:r>
    </w:p>
    <w:p w14:paraId="6763321B" w14:textId="1926B6E5" w:rsidR="00A543E8" w:rsidRDefault="00A543E8" w:rsidP="00A543E8">
      <w:pPr>
        <w:pStyle w:val="Affilation"/>
        <w:spacing w:line="276" w:lineRule="auto"/>
        <w:rPr>
          <w:sz w:val="20"/>
        </w:rPr>
      </w:pPr>
      <w:r>
        <w:rPr>
          <w:sz w:val="20"/>
          <w:lang w:val="en-US"/>
        </w:rPr>
        <w:t>5</w:t>
      </w:r>
      <w:r>
        <w:rPr>
          <w:sz w:val="20"/>
        </w:rPr>
        <w:t xml:space="preserve">. </w:t>
      </w:r>
      <w:r w:rsidRPr="00A543E8">
        <w:rPr>
          <w:sz w:val="20"/>
          <w:lang w:val="en-US"/>
        </w:rPr>
        <w:t>DWI - Leibniz Institute for Interactive Materials, GERMANY, Aachen, Forckenbeckstraße 50, E-mail: pich@dwi.rwth-aachen.de</w:t>
      </w:r>
    </w:p>
    <w:p w14:paraId="6E3D51FD" w14:textId="77777777" w:rsidR="00A543E8" w:rsidRPr="00A543E8" w:rsidRDefault="00A543E8">
      <w:pPr>
        <w:pStyle w:val="Affilation"/>
        <w:spacing w:line="276" w:lineRule="auto"/>
        <w:rPr>
          <w:sz w:val="20"/>
        </w:rPr>
      </w:pPr>
    </w:p>
    <w:p w14:paraId="5E591BEB" w14:textId="0989D485" w:rsidR="003F0B24" w:rsidRDefault="00000000">
      <w:pPr>
        <w:pStyle w:val="Abstract"/>
        <w:spacing w:after="120" w:line="276" w:lineRule="auto"/>
        <w:ind w:firstLine="0"/>
        <w:rPr>
          <w:sz w:val="22"/>
          <w:szCs w:val="22"/>
        </w:rPr>
      </w:pPr>
      <w:r>
        <w:rPr>
          <w:sz w:val="22"/>
          <w:szCs w:val="22"/>
        </w:rPr>
        <w:t>Abstract</w:t>
      </w:r>
      <w:r>
        <w:rPr>
          <w:sz w:val="22"/>
          <w:szCs w:val="22"/>
          <w:lang w:val="en-GB"/>
        </w:rPr>
        <w:t>.</w:t>
      </w:r>
      <w:r>
        <w:rPr>
          <w:sz w:val="22"/>
          <w:szCs w:val="22"/>
        </w:rPr>
        <w:t xml:space="preserve"> </w:t>
      </w:r>
      <w:r w:rsidR="00A543E8" w:rsidRPr="00A543E8">
        <w:rPr>
          <w:sz w:val="22"/>
          <w:szCs w:val="22"/>
        </w:rPr>
        <w:t xml:space="preserve">This paper explores selenium-modified microgels as interfacial catalysts for the environmentally friendly oxidation of aromatic aldehydes. Using mild reaction conditions and hydrogen peroxide as a green oxidant, </w:t>
      </w:r>
      <w:r w:rsidR="00A543E8">
        <w:rPr>
          <w:sz w:val="22"/>
          <w:szCs w:val="22"/>
          <w:lang w:val="en-US"/>
        </w:rPr>
        <w:t>microgels</w:t>
      </w:r>
      <w:r w:rsidR="00A543E8" w:rsidRPr="00A543E8">
        <w:rPr>
          <w:sz w:val="22"/>
          <w:szCs w:val="22"/>
        </w:rPr>
        <w:t xml:space="preserve"> demonstrate versatility across various aldehydes and solvent systems while offering excellent reusability, positioning these microgels as promising candidates for sustainable oxidation processes.</w:t>
      </w:r>
    </w:p>
    <w:p w14:paraId="1B90F617" w14:textId="627ACE3F" w:rsidR="003F0B24" w:rsidRDefault="00000000">
      <w:pPr>
        <w:pStyle w:val="IndexTerms"/>
        <w:spacing w:line="276" w:lineRule="auto"/>
        <w:ind w:firstLine="0"/>
        <w:rPr>
          <w:sz w:val="22"/>
          <w:szCs w:val="22"/>
          <w:lang w:val="en-US"/>
        </w:rPr>
      </w:pPr>
      <w:r>
        <w:rPr>
          <w:sz w:val="22"/>
          <w:szCs w:val="22"/>
        </w:rPr>
        <w:t>Кеу</w:t>
      </w:r>
      <w:r>
        <w:rPr>
          <w:sz w:val="22"/>
          <w:szCs w:val="22"/>
          <w:lang w:val="en-US"/>
        </w:rPr>
        <w:t>words</w:t>
      </w:r>
      <w:r>
        <w:rPr>
          <w:sz w:val="22"/>
          <w:szCs w:val="22"/>
          <w:lang w:val="en-GB"/>
        </w:rPr>
        <w:t>:</w:t>
      </w:r>
      <w:r>
        <w:rPr>
          <w:sz w:val="22"/>
          <w:szCs w:val="22"/>
          <w:lang w:val="en-US"/>
        </w:rPr>
        <w:t xml:space="preserve"> </w:t>
      </w:r>
      <w:r w:rsidR="00A543E8" w:rsidRPr="00A543E8">
        <w:rPr>
          <w:sz w:val="22"/>
          <w:szCs w:val="22"/>
          <w:lang w:val="en-US"/>
        </w:rPr>
        <w:t>microgels, selenium, interfacial catalysis, oxidation, aromatic aldehydes, heterophase reaction, green chemistry, sustainable synthesis</w:t>
      </w:r>
      <w:r>
        <w:rPr>
          <w:sz w:val="22"/>
          <w:szCs w:val="22"/>
          <w:lang w:val="en-US"/>
        </w:rPr>
        <w:t>.</w:t>
      </w:r>
    </w:p>
    <w:p w14:paraId="233DA387" w14:textId="7DFC557A" w:rsidR="003F0B24" w:rsidRPr="00A543E8" w:rsidRDefault="00000000">
      <w:pPr>
        <w:spacing w:after="120"/>
        <w:jc w:val="center"/>
        <w:rPr>
          <w:b/>
          <w:lang w:val="en-US"/>
        </w:rPr>
      </w:pPr>
      <w:r>
        <w:rPr>
          <w:b/>
        </w:rPr>
        <w:t>Introduction</w:t>
      </w:r>
    </w:p>
    <w:p w14:paraId="30D6B1FA" w14:textId="77777777" w:rsidR="00A543E8" w:rsidRDefault="00A543E8" w:rsidP="00A543E8">
      <w:pPr>
        <w:tabs>
          <w:tab w:val="left" w:pos="198"/>
        </w:tabs>
        <w:spacing w:line="276" w:lineRule="auto"/>
        <w:ind w:firstLine="567"/>
        <w:jc w:val="both"/>
      </w:pPr>
      <w:r>
        <w:t>Oxidation reactions are crucial in various chemical processes, from industrial synthesis to environmental remediation. The development of efficient and sustainable catalytic systems remains a significant challenge. Heterogeneous catalysts offer numerous advantages over homogeneous catalysts, including separation, recovery, and recycling capabilities, which make them more environmentally friendly as they produce fewer pollutants. However, homogeneous catalysts typically offer better accessibility to catalytic sites and higher product selectivity.</w:t>
      </w:r>
    </w:p>
    <w:p w14:paraId="37769F89" w14:textId="77777777" w:rsidR="00A543E8" w:rsidRDefault="00A543E8" w:rsidP="00A543E8">
      <w:pPr>
        <w:tabs>
          <w:tab w:val="left" w:pos="198"/>
        </w:tabs>
        <w:spacing w:line="276" w:lineRule="auto"/>
        <w:ind w:firstLine="567"/>
        <w:jc w:val="both"/>
      </w:pPr>
      <w:r>
        <w:t>Performing reactions under biphasic ("water-oil") conditions can facilitate product separation and purification, especially when the starting material and product reside in different phases. The growing interest in these systems stems from their environmentally friendly conditions, particularly when reactions occur in aqueous media. However, the poor water solubility of many organic reactants presents a challenge. While surfactants can facilitate such reactions, separating them from products and catalysts for reuse can be difficult. An ideal solution would be a heterogeneous catalyst with surfactant properties.</w:t>
      </w:r>
    </w:p>
    <w:p w14:paraId="27383A24" w14:textId="0CB9FF0C" w:rsidR="00A543E8" w:rsidRDefault="000E6B38" w:rsidP="00A543E8">
      <w:pPr>
        <w:tabs>
          <w:tab w:val="left" w:pos="198"/>
        </w:tabs>
        <w:spacing w:line="276" w:lineRule="auto"/>
        <w:ind w:firstLine="567"/>
        <w:jc w:val="both"/>
        <w:rPr>
          <w:lang w:val="en-US"/>
        </w:rPr>
      </w:pPr>
      <w:r>
        <w:rPr>
          <w:lang w:val="en-US"/>
        </w:rPr>
        <w:t>Here</w:t>
      </w:r>
      <w:r w:rsidR="00A543E8">
        <w:t>, we explore the performance of these Se-modified microgels in emulsion stabilization and investigate their catalytic activity in the oxidation of aromatic aldehydes in oil/water biphasic systems.</w:t>
      </w:r>
      <w:r>
        <w:rPr>
          <w:lang w:val="en-US"/>
        </w:rPr>
        <w:t xml:space="preserve"> </w:t>
      </w:r>
      <w:r w:rsidRPr="000E6B38">
        <w:rPr>
          <w:lang w:val="en-US"/>
        </w:rPr>
        <w:t xml:space="preserve">Oxidation of aromatic aldehydes, such as benzaldehyde, anisaldehyde and cinnamaldehyde, to the corresponding acids represents an important pathway in chemical valorisation for synthesis of valuable products and intermediates. </w:t>
      </w:r>
      <w:r>
        <w:rPr>
          <w:lang w:val="en-US"/>
        </w:rPr>
        <w:t xml:space="preserve"> </w:t>
      </w:r>
      <w:r w:rsidRPr="000E6B38">
        <w:rPr>
          <w:lang w:val="en-US"/>
        </w:rPr>
        <w:t>Aromatic aldehydes generally are not soluble in water, so, to facilitate their oxidation with hydrogen peroxide, performing the reaction in heterophase conditions using interfacial catalyst should be beneficial</w:t>
      </w:r>
      <w:r>
        <w:rPr>
          <w:lang w:val="en-US"/>
        </w:rPr>
        <w:t>.</w:t>
      </w:r>
    </w:p>
    <w:p w14:paraId="3498571F" w14:textId="77777777" w:rsidR="00A543E8" w:rsidRPr="00A543E8" w:rsidRDefault="00A543E8" w:rsidP="00A543E8">
      <w:pPr>
        <w:tabs>
          <w:tab w:val="left" w:pos="198"/>
        </w:tabs>
        <w:spacing w:line="276" w:lineRule="auto"/>
        <w:ind w:firstLine="567"/>
        <w:jc w:val="both"/>
        <w:rPr>
          <w:lang w:val="en-US"/>
        </w:rPr>
      </w:pPr>
    </w:p>
    <w:p w14:paraId="2D06BC88" w14:textId="0296CBC9" w:rsidR="003F0B24" w:rsidRDefault="00A543E8">
      <w:pPr>
        <w:spacing w:before="120" w:after="120"/>
        <w:jc w:val="center"/>
        <w:rPr>
          <w:b/>
          <w:lang w:val="en-GB"/>
        </w:rPr>
      </w:pPr>
      <w:r w:rsidRPr="00A543E8">
        <w:rPr>
          <w:b/>
        </w:rPr>
        <w:lastRenderedPageBreak/>
        <w:t>Results and Discussion</w:t>
      </w:r>
    </w:p>
    <w:p w14:paraId="34DE1B39" w14:textId="7EE1D354" w:rsidR="00A543E8" w:rsidRDefault="00A543E8" w:rsidP="00A543E8">
      <w:pPr>
        <w:tabs>
          <w:tab w:val="left" w:pos="198"/>
        </w:tabs>
        <w:spacing w:line="276" w:lineRule="auto"/>
        <w:ind w:firstLine="567"/>
        <w:jc w:val="both"/>
      </w:pPr>
      <w:r>
        <w:t xml:space="preserve">The hydrodynamic radii of Se-modified microgels can affect their catalytic performance. In water, PVCL-based microgels are swollen below the Volume Phase Transition Temperature (VPTT, ~32°C). Above the VPTT, the microgels transform into a collapsed state. In contrast, in toluene solution, microgels remain swollen regardless of temperature (Fig. </w:t>
      </w:r>
      <w:r>
        <w:rPr>
          <w:lang w:val="en-US"/>
        </w:rPr>
        <w:t>1</w:t>
      </w:r>
      <w:r>
        <w:t>a).</w:t>
      </w:r>
    </w:p>
    <w:p w14:paraId="47C71B1F" w14:textId="029FE6AF" w:rsidR="00A543E8" w:rsidRDefault="00A543E8" w:rsidP="00A543E8">
      <w:pPr>
        <w:tabs>
          <w:tab w:val="left" w:pos="198"/>
        </w:tabs>
        <w:spacing w:line="276" w:lineRule="auto"/>
        <w:ind w:firstLine="567"/>
        <w:jc w:val="both"/>
        <w:rPr>
          <w:lang w:val="en-US"/>
        </w:rPr>
      </w:pPr>
      <w:r>
        <w:t xml:space="preserve">The microgel caused a dramatic reduction of the interfacial tension (up to 42 times) compared to the reference (Fig. </w:t>
      </w:r>
      <w:r>
        <w:rPr>
          <w:lang w:val="en-US"/>
        </w:rPr>
        <w:t>1</w:t>
      </w:r>
      <w:r>
        <w:t>b). With increasing temperature, a slight increase in interfacial tension was observed, which has been attributed to the slowdown of surface tension decay due to the aggregation of polymer chains.</w:t>
      </w:r>
    </w:p>
    <w:p w14:paraId="7116E662" w14:textId="1FDBCD53" w:rsidR="00A543E8" w:rsidRPr="00A543E8" w:rsidRDefault="0000486D" w:rsidP="00F212DD">
      <w:pPr>
        <w:tabs>
          <w:tab w:val="left" w:pos="198"/>
        </w:tabs>
        <w:spacing w:before="120" w:after="120" w:line="276" w:lineRule="auto"/>
        <w:jc w:val="center"/>
        <w:rPr>
          <w:lang w:val="en-US"/>
        </w:rPr>
      </w:pPr>
      <w:r>
        <w:rPr>
          <w:noProof/>
        </w:rPr>
        <w:drawing>
          <wp:inline distT="0" distB="0" distL="0" distR="0" wp14:anchorId="10A86061" wp14:editId="26861B71">
            <wp:extent cx="2638095" cy="1933333"/>
            <wp:effectExtent l="0" t="0" r="0" b="0"/>
            <wp:docPr id="291799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99058" name=""/>
                    <pic:cNvPicPr/>
                  </pic:nvPicPr>
                  <pic:blipFill>
                    <a:blip r:embed="rId8"/>
                    <a:stretch>
                      <a:fillRect/>
                    </a:stretch>
                  </pic:blipFill>
                  <pic:spPr>
                    <a:xfrm>
                      <a:off x="0" y="0"/>
                      <a:ext cx="2638095" cy="1933333"/>
                    </a:xfrm>
                    <a:prstGeom prst="rect">
                      <a:avLst/>
                    </a:prstGeom>
                  </pic:spPr>
                </pic:pic>
              </a:graphicData>
            </a:graphic>
          </wp:inline>
        </w:drawing>
      </w:r>
      <w:r>
        <w:rPr>
          <w:noProof/>
        </w:rPr>
        <w:drawing>
          <wp:inline distT="0" distB="0" distL="0" distR="0" wp14:anchorId="4E60BECB" wp14:editId="7084632F">
            <wp:extent cx="2895238" cy="2028571"/>
            <wp:effectExtent l="0" t="0" r="635" b="0"/>
            <wp:docPr id="181239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92199" name=""/>
                    <pic:cNvPicPr/>
                  </pic:nvPicPr>
                  <pic:blipFill>
                    <a:blip r:embed="rId9"/>
                    <a:stretch>
                      <a:fillRect/>
                    </a:stretch>
                  </pic:blipFill>
                  <pic:spPr>
                    <a:xfrm>
                      <a:off x="0" y="0"/>
                      <a:ext cx="2895238" cy="2028571"/>
                    </a:xfrm>
                    <a:prstGeom prst="rect">
                      <a:avLst/>
                    </a:prstGeom>
                  </pic:spPr>
                </pic:pic>
              </a:graphicData>
            </a:graphic>
          </wp:inline>
        </w:drawing>
      </w:r>
    </w:p>
    <w:p w14:paraId="3C683DB1" w14:textId="61282379" w:rsidR="00A543E8" w:rsidRDefault="00A543E8" w:rsidP="00A543E8">
      <w:pPr>
        <w:tabs>
          <w:tab w:val="left" w:pos="198"/>
        </w:tabs>
        <w:spacing w:line="276" w:lineRule="auto"/>
        <w:jc w:val="center"/>
        <w:rPr>
          <w:lang w:val="en-US"/>
        </w:rPr>
      </w:pPr>
      <w:r w:rsidRPr="00A543E8">
        <w:t xml:space="preserve">Fig. </w:t>
      </w:r>
      <w:r>
        <w:rPr>
          <w:lang w:val="en-US"/>
        </w:rPr>
        <w:t>1</w:t>
      </w:r>
      <w:r w:rsidRPr="00A543E8">
        <w:t xml:space="preserve">. a) Hydrodynamic radii of Se-modified microgel in </w:t>
      </w:r>
      <w:r w:rsidR="00990510">
        <w:rPr>
          <w:lang w:val="en-US"/>
        </w:rPr>
        <w:t>t</w:t>
      </w:r>
      <w:r w:rsidRPr="00A543E8">
        <w:t xml:space="preserve">oluene and </w:t>
      </w:r>
      <w:r w:rsidR="00990510">
        <w:rPr>
          <w:lang w:val="en-US"/>
        </w:rPr>
        <w:t>w</w:t>
      </w:r>
      <w:r w:rsidRPr="00A543E8">
        <w:t xml:space="preserve">ater. b) Dependence of </w:t>
      </w:r>
      <w:r w:rsidR="00990510">
        <w:rPr>
          <w:lang w:val="en-US"/>
        </w:rPr>
        <w:t>i</w:t>
      </w:r>
      <w:r w:rsidRPr="00A543E8">
        <w:t xml:space="preserve">nterfacial </w:t>
      </w:r>
      <w:r w:rsidR="00990510">
        <w:rPr>
          <w:lang w:val="en-US"/>
        </w:rPr>
        <w:t>t</w:t>
      </w:r>
      <w:r w:rsidRPr="00A543E8">
        <w:t xml:space="preserve">ension (γ) in </w:t>
      </w:r>
      <w:r w:rsidR="00990510">
        <w:rPr>
          <w:lang w:val="en-US"/>
        </w:rPr>
        <w:t>t</w:t>
      </w:r>
      <w:r w:rsidRPr="00A543E8">
        <w:t>oluene-</w:t>
      </w:r>
      <w:r w:rsidR="00990510">
        <w:rPr>
          <w:lang w:val="en-US"/>
        </w:rPr>
        <w:t>w</w:t>
      </w:r>
      <w:r w:rsidRPr="00A543E8">
        <w:t>ater on temperature and concentration of Selenium-modified microgel</w:t>
      </w:r>
    </w:p>
    <w:p w14:paraId="1576330A" w14:textId="77777777" w:rsidR="00A543E8" w:rsidRPr="00A543E8" w:rsidRDefault="00A543E8" w:rsidP="00A543E8">
      <w:pPr>
        <w:tabs>
          <w:tab w:val="left" w:pos="198"/>
        </w:tabs>
        <w:spacing w:line="276" w:lineRule="auto"/>
        <w:ind w:firstLine="567"/>
        <w:jc w:val="both"/>
        <w:rPr>
          <w:lang w:val="en-US"/>
        </w:rPr>
      </w:pPr>
    </w:p>
    <w:p w14:paraId="466075B4" w14:textId="2A4524E2" w:rsidR="00A543E8" w:rsidRPr="0043538F" w:rsidRDefault="00A543E8" w:rsidP="00A543E8">
      <w:pPr>
        <w:tabs>
          <w:tab w:val="left" w:pos="198"/>
        </w:tabs>
        <w:spacing w:line="276" w:lineRule="auto"/>
        <w:ind w:firstLine="567"/>
        <w:jc w:val="both"/>
        <w:rPr>
          <w:lang w:val="en-US"/>
        </w:rPr>
      </w:pPr>
      <w:r>
        <w:t xml:space="preserve">The catalytic activity of Se-modified microgels was evaluated in a model reaction of benzaldehyde oxidation with hydrogen peroxide under biphasic (toluene/water) reaction conditions. The oxidation occurs at the interface between the toluene phase (containing benzaldehyde) and the water phase (containing hydrogen peroxide), with the selenium-containing microgel acting as an interfacial catalyst due to its surfactant properties and catalytic seleninic groups. </w:t>
      </w:r>
      <w:r w:rsidR="0043538F" w:rsidRPr="0043538F">
        <w:t>Phenol was the sole by-product in the benzaldehyde oxidation at all reaction conditions</w:t>
      </w:r>
      <w:r w:rsidR="0043538F">
        <w:rPr>
          <w:lang w:val="en-US"/>
        </w:rPr>
        <w:t>.</w:t>
      </w:r>
    </w:p>
    <w:p w14:paraId="23781E91" w14:textId="211D957B" w:rsidR="00A543E8" w:rsidRDefault="00A543E8" w:rsidP="00A543E8">
      <w:pPr>
        <w:tabs>
          <w:tab w:val="left" w:pos="198"/>
        </w:tabs>
        <w:spacing w:line="276" w:lineRule="auto"/>
        <w:ind w:firstLine="567"/>
        <w:jc w:val="both"/>
        <w:rPr>
          <w:lang w:val="en-US"/>
        </w:rPr>
      </w:pPr>
      <w:r>
        <w:t xml:space="preserve">The catalytic activity of the Se-modified microgel increases with reaction temperature up to 50°C (Fig. </w:t>
      </w:r>
      <w:r>
        <w:rPr>
          <w:lang w:val="en-US"/>
        </w:rPr>
        <w:t>2</w:t>
      </w:r>
      <w:r>
        <w:t xml:space="preserve">a). A further increase in temperature results in a lower benzoic acid yield, correlating with the thermal responsiveness of the microgel in water. At temperatures higher than 40°C, the hydrodynamic radius of the microgel in water is 2 times smaller than at 20°C, which may cause difficulties in reagent diffusion inside the microgel particles.  </w:t>
      </w:r>
    </w:p>
    <w:p w14:paraId="1A75A3E6" w14:textId="77777777" w:rsidR="0043538F" w:rsidRDefault="0043538F" w:rsidP="0043538F">
      <w:pPr>
        <w:tabs>
          <w:tab w:val="left" w:pos="198"/>
        </w:tabs>
        <w:spacing w:line="276" w:lineRule="auto"/>
        <w:ind w:firstLine="567"/>
        <w:jc w:val="both"/>
        <w:rPr>
          <w:lang w:val="en-US"/>
        </w:rPr>
      </w:pPr>
      <w:r>
        <w:t>When the reaction was performed in media with a large excess of water, the yield of benzoic acid and the reaction rate were quite low. As the amount of water in the reaction mixture was reduced from 80% (T1W4) to 20% (T4W1), both the reaction rate and the benzoic acid yield increased significantly. For the reaction performed with a T:W ratio of 4:1, the Se-microgel proved to be a highly active colloidal catalyst, achieving a yield of 95.6% of benzoic acid at 50°C.</w:t>
      </w:r>
    </w:p>
    <w:p w14:paraId="0B3CAA0F" w14:textId="77777777" w:rsidR="0043538F" w:rsidRPr="00A543E8" w:rsidRDefault="0043538F" w:rsidP="0043538F">
      <w:pPr>
        <w:tabs>
          <w:tab w:val="left" w:pos="198"/>
        </w:tabs>
        <w:spacing w:line="276" w:lineRule="auto"/>
        <w:ind w:firstLine="567"/>
        <w:jc w:val="both"/>
        <w:rPr>
          <w:lang w:val="en-US"/>
        </w:rPr>
      </w:pPr>
      <w:r w:rsidRPr="00A543E8">
        <w:rPr>
          <w:lang w:val="en-US"/>
        </w:rPr>
        <w:t xml:space="preserve">The yield of benzoic acid increases rapidly with the reaction time up to 88.8% at 5 hours (Fig. </w:t>
      </w:r>
      <w:r>
        <w:rPr>
          <w:lang w:val="en-US"/>
        </w:rPr>
        <w:t>2b</w:t>
      </w:r>
      <w:r w:rsidRPr="00A543E8">
        <w:rPr>
          <w:lang w:val="en-US"/>
        </w:rPr>
        <w:t xml:space="preserve">). Further increase of the reaction time to 8 hours leads to a relatively smaller increase in yield to 95.6%, which is not very efficient in terms of productivity, but has the additional benefit </w:t>
      </w:r>
      <w:r w:rsidRPr="00A543E8">
        <w:rPr>
          <w:lang w:val="en-US"/>
        </w:rPr>
        <w:lastRenderedPageBreak/>
        <w:t>of increasing the selectivity from 91.2% to 96.6%, which is much more valuable. Therefore 8 hours was chosen as the optimal reaction time.</w:t>
      </w:r>
    </w:p>
    <w:p w14:paraId="05D19376" w14:textId="3CF7687D" w:rsidR="00A543E8" w:rsidRDefault="0000486D" w:rsidP="00F212DD">
      <w:pPr>
        <w:tabs>
          <w:tab w:val="left" w:pos="198"/>
        </w:tabs>
        <w:spacing w:before="120" w:after="120" w:line="276" w:lineRule="auto"/>
        <w:jc w:val="center"/>
        <w:rPr>
          <w:lang w:val="en-US"/>
        </w:rPr>
      </w:pPr>
      <w:r>
        <w:rPr>
          <w:noProof/>
        </w:rPr>
        <w:drawing>
          <wp:inline distT="0" distB="0" distL="0" distR="0" wp14:anchorId="7A706749" wp14:editId="45376098">
            <wp:extent cx="2885714" cy="1876190"/>
            <wp:effectExtent l="0" t="0" r="0" b="0"/>
            <wp:docPr id="1186806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06516" name=""/>
                    <pic:cNvPicPr/>
                  </pic:nvPicPr>
                  <pic:blipFill>
                    <a:blip r:embed="rId10"/>
                    <a:stretch>
                      <a:fillRect/>
                    </a:stretch>
                  </pic:blipFill>
                  <pic:spPr>
                    <a:xfrm>
                      <a:off x="0" y="0"/>
                      <a:ext cx="2885714" cy="1876190"/>
                    </a:xfrm>
                    <a:prstGeom prst="rect">
                      <a:avLst/>
                    </a:prstGeom>
                  </pic:spPr>
                </pic:pic>
              </a:graphicData>
            </a:graphic>
          </wp:inline>
        </w:drawing>
      </w:r>
      <w:r>
        <w:rPr>
          <w:noProof/>
        </w:rPr>
        <w:drawing>
          <wp:inline distT="0" distB="0" distL="0" distR="0" wp14:anchorId="0606A91C" wp14:editId="74AC79C5">
            <wp:extent cx="2942857" cy="1809524"/>
            <wp:effectExtent l="0" t="0" r="0" b="635"/>
            <wp:docPr id="195168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80484" name=""/>
                    <pic:cNvPicPr/>
                  </pic:nvPicPr>
                  <pic:blipFill>
                    <a:blip r:embed="rId11"/>
                    <a:stretch>
                      <a:fillRect/>
                    </a:stretch>
                  </pic:blipFill>
                  <pic:spPr>
                    <a:xfrm>
                      <a:off x="0" y="0"/>
                      <a:ext cx="2942857" cy="1809524"/>
                    </a:xfrm>
                    <a:prstGeom prst="rect">
                      <a:avLst/>
                    </a:prstGeom>
                  </pic:spPr>
                </pic:pic>
              </a:graphicData>
            </a:graphic>
          </wp:inline>
        </w:drawing>
      </w:r>
    </w:p>
    <w:p w14:paraId="6C77267D" w14:textId="026B183E" w:rsidR="00A543E8" w:rsidRDefault="00A543E8" w:rsidP="00A543E8">
      <w:pPr>
        <w:tabs>
          <w:tab w:val="left" w:pos="198"/>
        </w:tabs>
        <w:spacing w:line="276" w:lineRule="auto"/>
        <w:jc w:val="center"/>
        <w:rPr>
          <w:lang w:val="en-US"/>
        </w:rPr>
      </w:pPr>
      <w:r w:rsidRPr="00A543E8">
        <w:rPr>
          <w:lang w:val="en-US"/>
        </w:rPr>
        <w:t xml:space="preserve">Fig. </w:t>
      </w:r>
      <w:r>
        <w:rPr>
          <w:lang w:val="en-US"/>
        </w:rPr>
        <w:t>2</w:t>
      </w:r>
      <w:r w:rsidRPr="00A543E8">
        <w:rPr>
          <w:lang w:val="en-US"/>
        </w:rPr>
        <w:t xml:space="preserve">. a) Effect of toluene:water ratio and reaction temperature on the yield of benzoic acid (Y). </w:t>
      </w:r>
      <w:r>
        <w:rPr>
          <w:lang w:val="en-US"/>
        </w:rPr>
        <w:t>b</w:t>
      </w:r>
      <w:r w:rsidRPr="00A543E8">
        <w:rPr>
          <w:lang w:val="en-US"/>
        </w:rPr>
        <w:t>) Effect of reaction time on the yield of benzoic acid (Y). Catalyst – B1.5Se2.0.</w:t>
      </w:r>
    </w:p>
    <w:p w14:paraId="216AB2DD" w14:textId="77777777" w:rsidR="00A543E8" w:rsidRPr="00A543E8" w:rsidRDefault="00A543E8" w:rsidP="00A543E8">
      <w:pPr>
        <w:tabs>
          <w:tab w:val="left" w:pos="198"/>
        </w:tabs>
        <w:spacing w:line="276" w:lineRule="auto"/>
        <w:ind w:firstLine="567"/>
        <w:jc w:val="center"/>
        <w:rPr>
          <w:lang w:val="en-US"/>
        </w:rPr>
      </w:pPr>
    </w:p>
    <w:p w14:paraId="5161A6F1" w14:textId="1560A61B" w:rsidR="00A543E8" w:rsidRDefault="00A543E8" w:rsidP="00A543E8">
      <w:pPr>
        <w:tabs>
          <w:tab w:val="left" w:pos="198"/>
        </w:tabs>
        <w:spacing w:line="276" w:lineRule="auto"/>
        <w:ind w:firstLine="567"/>
        <w:jc w:val="both"/>
      </w:pPr>
      <w:r>
        <w:t xml:space="preserve">Besides toluene, the microgel catalyst was tested in chloroform, ethyl acetate, and 1-octanol in water emulsions with a solvent:water ratio of 4:1 (Fig. </w:t>
      </w:r>
      <w:r>
        <w:rPr>
          <w:lang w:val="en-US"/>
        </w:rPr>
        <w:t>3</w:t>
      </w:r>
      <w:r>
        <w:t>). All of these provided lower yields of benzoic acid compared to the toluene/water system: 70.9% in chloroform/water, 53.6% in ethyl acetate/water, and 25.5% in 1-octanol/water. Interestingly, in the 1-octanol/water system, octyl benzoate (23.3%) was obtained alongside benzoic acid, suggesting either oxidative alkoxylation of benzaldehyde or subsequent esterification of benzoic acid, with a total oxidation yield of 48.8%.</w:t>
      </w:r>
    </w:p>
    <w:p w14:paraId="2A4E4B89" w14:textId="020FB6AD" w:rsidR="00A543E8" w:rsidRDefault="00A543E8" w:rsidP="00F212DD">
      <w:pPr>
        <w:tabs>
          <w:tab w:val="left" w:pos="198"/>
        </w:tabs>
        <w:spacing w:before="120" w:after="120" w:line="276" w:lineRule="auto"/>
        <w:jc w:val="center"/>
      </w:pPr>
      <w:r>
        <w:rPr>
          <w:noProof/>
          <w:lang w:val="en-US"/>
        </w:rPr>
        <w:drawing>
          <wp:inline distT="0" distB="0" distL="0" distR="0" wp14:anchorId="4B69C4ED" wp14:editId="37535980">
            <wp:extent cx="4980708" cy="2162685"/>
            <wp:effectExtent l="0" t="0" r="0" b="9525"/>
            <wp:docPr id="140738561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85614" name="Graphic 21"/>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5008899" cy="2174926"/>
                    </a:xfrm>
                    <a:prstGeom prst="rect">
                      <a:avLst/>
                    </a:prstGeom>
                  </pic:spPr>
                </pic:pic>
              </a:graphicData>
            </a:graphic>
          </wp:inline>
        </w:drawing>
      </w:r>
    </w:p>
    <w:p w14:paraId="2A68C61C" w14:textId="0A289227" w:rsidR="00A543E8" w:rsidRDefault="00A543E8" w:rsidP="00A543E8">
      <w:pPr>
        <w:tabs>
          <w:tab w:val="left" w:pos="198"/>
        </w:tabs>
        <w:spacing w:line="276" w:lineRule="auto"/>
        <w:jc w:val="center"/>
        <w:rPr>
          <w:lang w:val="en-US"/>
        </w:rPr>
      </w:pPr>
      <w:r w:rsidRPr="00A543E8">
        <w:rPr>
          <w:lang w:val="en-US"/>
        </w:rPr>
        <w:t xml:space="preserve">Fig. </w:t>
      </w:r>
      <w:r>
        <w:rPr>
          <w:lang w:val="en-US"/>
        </w:rPr>
        <w:t>3</w:t>
      </w:r>
      <w:r w:rsidRPr="00A543E8">
        <w:rPr>
          <w:lang w:val="en-US"/>
        </w:rPr>
        <w:t>. Effect of solvent nature on the yield of benzoic acid (Y). Solvent:water ratio=4:1. Reaction temperature – 50 °C. Reaction time – 8 h.</w:t>
      </w:r>
    </w:p>
    <w:p w14:paraId="564A6FDA" w14:textId="77777777" w:rsidR="00A543E8" w:rsidRDefault="00A543E8" w:rsidP="00A543E8">
      <w:pPr>
        <w:tabs>
          <w:tab w:val="left" w:pos="198"/>
        </w:tabs>
        <w:spacing w:line="276" w:lineRule="auto"/>
        <w:ind w:firstLine="567"/>
        <w:jc w:val="both"/>
        <w:rPr>
          <w:lang w:val="en-US"/>
        </w:rPr>
      </w:pPr>
    </w:p>
    <w:p w14:paraId="62ADC76C" w14:textId="3AD0D6CC" w:rsidR="00A543E8" w:rsidRDefault="00A543E8" w:rsidP="00A543E8">
      <w:pPr>
        <w:tabs>
          <w:tab w:val="left" w:pos="198"/>
        </w:tabs>
        <w:spacing w:line="276" w:lineRule="auto"/>
        <w:ind w:firstLine="567"/>
        <w:jc w:val="both"/>
      </w:pPr>
      <w:r>
        <w:t xml:space="preserve">In addition to benzaldehyde, cinnamaldehyde, anisaldehyde, and veratraldehyde were investigated in the toluene/water (4:1) system (Fig. </w:t>
      </w:r>
      <w:r>
        <w:rPr>
          <w:lang w:val="en-US"/>
        </w:rPr>
        <w:t>4</w:t>
      </w:r>
      <w:r>
        <w:t>). The Se-microgel catalyst proved active in oxidizing these aldehydes too, but with lower selectivity for the corresponding acids. Cinnamaldehyde oxidation produced 29.8% cinnamic acid, 9.8% hydrocoumarin, and 17.1% benzoic acid. Anisaldehyde oxidation yielded 28.5% anisic acid and 35.2% mequinol. Veratraldehyde oxidation produced only 1.7% veratric acid, with the main product being 3,4-dimethoxyphenol (39.0%).</w:t>
      </w:r>
    </w:p>
    <w:p w14:paraId="3FC8672E" w14:textId="7743D527" w:rsidR="00A543E8" w:rsidRDefault="00A543E8" w:rsidP="00F212DD">
      <w:pPr>
        <w:tabs>
          <w:tab w:val="left" w:pos="198"/>
        </w:tabs>
        <w:spacing w:before="120" w:after="120" w:line="276" w:lineRule="auto"/>
        <w:jc w:val="center"/>
        <w:rPr>
          <w:lang w:val="en-US"/>
        </w:rPr>
      </w:pPr>
      <w:r>
        <w:rPr>
          <w:noProof/>
          <w:lang w:val="en-US"/>
        </w:rPr>
        <w:lastRenderedPageBreak/>
        <w:drawing>
          <wp:inline distT="0" distB="0" distL="0" distR="0" wp14:anchorId="38D0BD8E" wp14:editId="0ED7FAF2">
            <wp:extent cx="5410200" cy="1765434"/>
            <wp:effectExtent l="0" t="0" r="0" b="6350"/>
            <wp:docPr id="1415300390"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00390" name="Graphic 24"/>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5475924" cy="1786881"/>
                    </a:xfrm>
                    <a:prstGeom prst="rect">
                      <a:avLst/>
                    </a:prstGeom>
                  </pic:spPr>
                </pic:pic>
              </a:graphicData>
            </a:graphic>
          </wp:inline>
        </w:drawing>
      </w:r>
    </w:p>
    <w:p w14:paraId="0BB01D8F" w14:textId="63F8E565" w:rsidR="00A543E8" w:rsidRDefault="00A543E8" w:rsidP="00A543E8">
      <w:pPr>
        <w:tabs>
          <w:tab w:val="left" w:pos="198"/>
        </w:tabs>
        <w:spacing w:line="276" w:lineRule="auto"/>
        <w:jc w:val="center"/>
        <w:rPr>
          <w:lang w:val="en-US"/>
        </w:rPr>
      </w:pPr>
      <w:r w:rsidRPr="00A543E8">
        <w:rPr>
          <w:lang w:val="en-US"/>
        </w:rPr>
        <w:t xml:space="preserve">Fig. </w:t>
      </w:r>
      <w:r>
        <w:rPr>
          <w:lang w:val="en-US"/>
        </w:rPr>
        <w:t>4</w:t>
      </w:r>
      <w:r w:rsidRPr="00A543E8">
        <w:rPr>
          <w:lang w:val="en-US"/>
        </w:rPr>
        <w:t>. Effect of catalyst activity on the oxidation reaction of a number of aromatic aldehydes. Toluene:water ratio=4:1. Reaction temperature – 50 °C. h. Reaction time – 8 h.</w:t>
      </w:r>
    </w:p>
    <w:p w14:paraId="5D720542" w14:textId="77777777" w:rsidR="00A543E8" w:rsidRPr="00A543E8" w:rsidRDefault="00A543E8" w:rsidP="00A543E8">
      <w:pPr>
        <w:tabs>
          <w:tab w:val="left" w:pos="198"/>
        </w:tabs>
        <w:spacing w:line="276" w:lineRule="auto"/>
        <w:ind w:firstLine="567"/>
        <w:jc w:val="both"/>
        <w:rPr>
          <w:lang w:val="en-US"/>
        </w:rPr>
      </w:pPr>
    </w:p>
    <w:p w14:paraId="418110E9" w14:textId="2B1AA971" w:rsidR="00A543E8" w:rsidRDefault="00A543E8" w:rsidP="00A543E8">
      <w:pPr>
        <w:tabs>
          <w:tab w:val="left" w:pos="198"/>
        </w:tabs>
        <w:spacing w:line="276" w:lineRule="auto"/>
        <w:ind w:firstLine="567"/>
        <w:jc w:val="both"/>
        <w:rPr>
          <w:lang w:val="en-US"/>
        </w:rPr>
      </w:pPr>
      <w:r>
        <w:t xml:space="preserve">The reusability of the catalyst was explored after separating the microgel from the reaction medium through precipitation using hexane. The catalytic performance remained largely unchanged, with less than a 3% reduction in benzoic acid yield even after the third cycle (Fig. </w:t>
      </w:r>
      <w:r>
        <w:rPr>
          <w:lang w:val="en-US"/>
        </w:rPr>
        <w:t>5</w:t>
      </w:r>
      <w:r>
        <w:t xml:space="preserve">a). FT-IR spectra of the used microgel demonstrated its chemical stability, showing no structural changes after three catalytic cycles (Fig. </w:t>
      </w:r>
      <w:r>
        <w:rPr>
          <w:lang w:val="en-US"/>
        </w:rPr>
        <w:t>5</w:t>
      </w:r>
      <w:r>
        <w:t>b).</w:t>
      </w:r>
    </w:p>
    <w:p w14:paraId="7B92D528" w14:textId="28DBD052" w:rsidR="00A543E8" w:rsidRPr="00A543E8" w:rsidRDefault="0000486D" w:rsidP="00F212DD">
      <w:pPr>
        <w:tabs>
          <w:tab w:val="left" w:pos="198"/>
        </w:tabs>
        <w:spacing w:before="120" w:after="120" w:line="276" w:lineRule="auto"/>
        <w:jc w:val="center"/>
        <w:rPr>
          <w:lang w:val="en-US"/>
        </w:rPr>
      </w:pPr>
      <w:r>
        <w:rPr>
          <w:noProof/>
        </w:rPr>
        <w:drawing>
          <wp:inline distT="0" distB="0" distL="0" distR="0" wp14:anchorId="5B6649C3" wp14:editId="7E289880">
            <wp:extent cx="2038095" cy="1647619"/>
            <wp:effectExtent l="0" t="0" r="635" b="0"/>
            <wp:docPr id="761577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77855" name=""/>
                    <pic:cNvPicPr/>
                  </pic:nvPicPr>
                  <pic:blipFill>
                    <a:blip r:embed="rId16"/>
                    <a:stretch>
                      <a:fillRect/>
                    </a:stretch>
                  </pic:blipFill>
                  <pic:spPr>
                    <a:xfrm>
                      <a:off x="0" y="0"/>
                      <a:ext cx="2038095" cy="1647619"/>
                    </a:xfrm>
                    <a:prstGeom prst="rect">
                      <a:avLst/>
                    </a:prstGeom>
                  </pic:spPr>
                </pic:pic>
              </a:graphicData>
            </a:graphic>
          </wp:inline>
        </w:drawing>
      </w:r>
      <w:r>
        <w:rPr>
          <w:lang w:val="en-US"/>
        </w:rPr>
        <w:t xml:space="preserve"> </w:t>
      </w:r>
      <w:r w:rsidR="00A543E8">
        <w:rPr>
          <w:noProof/>
          <w:lang w:val="en-US"/>
        </w:rPr>
        <w:drawing>
          <wp:inline distT="0" distB="0" distL="0" distR="0" wp14:anchorId="496289F2" wp14:editId="55D9AC35">
            <wp:extent cx="2867025" cy="1515255"/>
            <wp:effectExtent l="0" t="0" r="0" b="8890"/>
            <wp:docPr id="146951216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12168" name="Picture 2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2268" cy="1544452"/>
                    </a:xfrm>
                    <a:prstGeom prst="rect">
                      <a:avLst/>
                    </a:prstGeom>
                    <a:ln w="50800">
                      <a:noFill/>
                    </a:ln>
                  </pic:spPr>
                </pic:pic>
              </a:graphicData>
            </a:graphic>
          </wp:inline>
        </w:drawing>
      </w:r>
    </w:p>
    <w:p w14:paraId="0F729BAE" w14:textId="2A1C9F6A" w:rsidR="00A543E8" w:rsidRDefault="00A543E8" w:rsidP="00A543E8">
      <w:pPr>
        <w:tabs>
          <w:tab w:val="left" w:pos="198"/>
        </w:tabs>
        <w:spacing w:line="276" w:lineRule="auto"/>
        <w:jc w:val="center"/>
        <w:rPr>
          <w:lang w:val="en-US"/>
        </w:rPr>
      </w:pPr>
      <w:r>
        <w:t>Fig. 9. a) Dependence of the benzoic acid yield (Y) and benzoic acid initial formation rate (r0) on the reusability of the catalyst, solvent – toluene/water 4:1, catalyst – Se 2.0 microgel, reaction time – 8 h. b) FT-IR spectra of the microgel after first and third use of the catalyst in the oxidation reaction.</w:t>
      </w:r>
    </w:p>
    <w:p w14:paraId="759ABFEA" w14:textId="77777777" w:rsidR="00F212DD" w:rsidRPr="00F212DD" w:rsidRDefault="00F212DD" w:rsidP="00A543E8">
      <w:pPr>
        <w:tabs>
          <w:tab w:val="left" w:pos="198"/>
        </w:tabs>
        <w:spacing w:line="276" w:lineRule="auto"/>
        <w:jc w:val="center"/>
        <w:rPr>
          <w:lang w:val="en-US"/>
        </w:rPr>
      </w:pPr>
    </w:p>
    <w:p w14:paraId="76754648" w14:textId="11CC8B23" w:rsidR="00A543E8" w:rsidRPr="00A543E8" w:rsidRDefault="00A543E8" w:rsidP="00A543E8">
      <w:pPr>
        <w:spacing w:before="120" w:after="120"/>
        <w:jc w:val="center"/>
        <w:rPr>
          <w:b/>
          <w:lang w:val="en-US"/>
        </w:rPr>
      </w:pPr>
      <w:r>
        <w:rPr>
          <w:b/>
          <w:lang w:val="en-US"/>
        </w:rPr>
        <w:t>Conclusions</w:t>
      </w:r>
    </w:p>
    <w:p w14:paraId="1D5663BD" w14:textId="77777777" w:rsidR="00A543E8" w:rsidRDefault="00A543E8" w:rsidP="00A543E8">
      <w:pPr>
        <w:tabs>
          <w:tab w:val="left" w:pos="198"/>
        </w:tabs>
        <w:spacing w:line="276" w:lineRule="auto"/>
        <w:ind w:firstLine="567"/>
        <w:jc w:val="both"/>
      </w:pPr>
      <w:r>
        <w:t>Se-containing microgel demonstrated high activity and selectivity as a low-temperature interfacial catalyst in the heterophase oxidation of benzaldehyde to benzoic acid by hydrogen peroxide. The highest yield of benzoic acid (95.6% with 96.6% selectivity) was achieved in the toluene/water (4:1) system at 50°C and 8 h reaction time. Reusing the catalyst over multiple cycles showed no significant change in its activity.</w:t>
      </w:r>
    </w:p>
    <w:p w14:paraId="163D157E" w14:textId="77777777" w:rsidR="00A543E8" w:rsidRDefault="00A543E8" w:rsidP="00A543E8">
      <w:pPr>
        <w:tabs>
          <w:tab w:val="left" w:pos="198"/>
        </w:tabs>
        <w:spacing w:line="276" w:lineRule="auto"/>
        <w:ind w:firstLine="567"/>
        <w:jc w:val="both"/>
        <w:rPr>
          <w:lang w:val="en-US"/>
        </w:rPr>
      </w:pPr>
      <w:r>
        <w:t>The catalyst also proved effective in the oxidation of other aromatic aldehydes, although with lower selectivity for the corresponding acids. High efficiency at the interface and mild working conditions make Se-microgel catalysts promising candidates for green oxidation processes using hydrogen peroxide as an environmentally safe oxidant.</w:t>
      </w:r>
    </w:p>
    <w:p w14:paraId="5833A888" w14:textId="6F0D4F65" w:rsidR="00A543E8" w:rsidRDefault="00A543E8" w:rsidP="00A543E8">
      <w:pPr>
        <w:spacing w:before="120" w:after="120"/>
        <w:jc w:val="center"/>
        <w:rPr>
          <w:b/>
          <w:lang w:val="en-GB"/>
        </w:rPr>
      </w:pPr>
      <w:r w:rsidRPr="00A543E8">
        <w:rPr>
          <w:b/>
        </w:rPr>
        <w:t>Acknowledgments</w:t>
      </w:r>
    </w:p>
    <w:p w14:paraId="767B7FAD" w14:textId="5E1B92D1" w:rsidR="003F0B24" w:rsidRDefault="00A543E8" w:rsidP="00A543E8">
      <w:pPr>
        <w:tabs>
          <w:tab w:val="left" w:pos="198"/>
        </w:tabs>
        <w:spacing w:line="276" w:lineRule="auto"/>
        <w:ind w:firstLine="567"/>
        <w:jc w:val="both"/>
      </w:pPr>
      <w:r>
        <w:t>Funded by the Deutsche Forschungsgemeinschaft (DFG, German Research Foundation) – 492353574.</w:t>
      </w:r>
    </w:p>
    <w:sectPr w:rsidR="003F0B24">
      <w:headerReference w:type="even" r:id="rId18"/>
      <w:headerReference w:type="default" r:id="rId19"/>
      <w:type w:val="continuous"/>
      <w:pgSz w:w="11907" w:h="16839"/>
      <w:pgMar w:top="851" w:right="1418" w:bottom="1134" w:left="851" w:header="567" w:footer="567" w:gutter="284"/>
      <w:cols w:space="28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D5CE" w14:textId="77777777" w:rsidR="00982AF6" w:rsidRDefault="00982AF6">
      <w:r>
        <w:separator/>
      </w:r>
    </w:p>
  </w:endnote>
  <w:endnote w:type="continuationSeparator" w:id="0">
    <w:p w14:paraId="13FA3F2E" w14:textId="77777777" w:rsidR="00982AF6" w:rsidRDefault="0098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krainianJournal">
    <w:altName w:val="AMGDT"/>
    <w:charset w:val="00"/>
    <w:family w:val="swiss"/>
    <w:pitch w:val="default"/>
    <w:sig w:usb0="00000000" w:usb1="00000000" w:usb2="00000000" w:usb3="00000000" w:csb0="00000005"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ECFBC" w14:textId="77777777" w:rsidR="00982AF6" w:rsidRDefault="00982AF6">
      <w:r>
        <w:separator/>
      </w:r>
    </w:p>
  </w:footnote>
  <w:footnote w:type="continuationSeparator" w:id="0">
    <w:p w14:paraId="787943E3" w14:textId="77777777" w:rsidR="00982AF6" w:rsidRDefault="0098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70ED" w14:textId="77777777" w:rsidR="003F0B24" w:rsidRDefault="00000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1915E1" w14:textId="77777777" w:rsidR="003F0B24" w:rsidRDefault="003F0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86BA" w14:textId="77777777" w:rsidR="003F0B24" w:rsidRDefault="003F0B24">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upperRoman"/>
      <w:pStyle w:val="Heading1"/>
      <w:lvlText w:val="%1."/>
      <w:legacy w:legacy="1" w:legacySpace="0" w:legacyIndent="170"/>
      <w:lvlJc w:val="left"/>
      <w:pPr>
        <w:ind w:left="170" w:hanging="170"/>
      </w:pPr>
    </w:lvl>
    <w:lvl w:ilvl="1">
      <w:start w:val="1"/>
      <w:numFmt w:val="upperLetter"/>
      <w:pStyle w:val="Heading2"/>
      <w:lvlText w:val="%2."/>
      <w:legacy w:legacy="1" w:legacySpace="0" w:legacyIndent="170"/>
      <w:lvlJc w:val="left"/>
      <w:pPr>
        <w:ind w:left="142" w:hanging="170"/>
      </w:pPr>
    </w:lvl>
    <w:lvl w:ilvl="2">
      <w:start w:val="1"/>
      <w:numFmt w:val="decimal"/>
      <w:pStyle w:val="Heading3"/>
      <w:lvlText w:val="%3."/>
      <w:legacy w:legacy="1" w:legacySpace="0" w:legacyIndent="170"/>
      <w:lvlJc w:val="left"/>
      <w:pPr>
        <w:ind w:left="142" w:hanging="170"/>
      </w:pPr>
    </w:lvl>
    <w:lvl w:ilvl="3">
      <w:start w:val="1"/>
      <w:numFmt w:val="lowerLetter"/>
      <w:pStyle w:val="Heading4"/>
      <w:lvlText w:val="%4)"/>
      <w:legacy w:legacy="1" w:legacySpace="0" w:legacyIndent="708"/>
      <w:lvlJc w:val="left"/>
      <w:pPr>
        <w:ind w:left="1218" w:hanging="708"/>
      </w:pPr>
    </w:lvl>
    <w:lvl w:ilvl="4">
      <w:start w:val="1"/>
      <w:numFmt w:val="decimal"/>
      <w:pStyle w:val="Heading5"/>
      <w:lvlText w:val="(%5)"/>
      <w:legacy w:legacy="1" w:legacySpace="0" w:legacyIndent="708"/>
      <w:lvlJc w:val="left"/>
      <w:pPr>
        <w:ind w:left="1926" w:hanging="708"/>
      </w:pPr>
    </w:lvl>
    <w:lvl w:ilvl="5">
      <w:start w:val="1"/>
      <w:numFmt w:val="lowerLetter"/>
      <w:pStyle w:val="Heading6"/>
      <w:lvlText w:val="(%6)"/>
      <w:legacy w:legacy="1" w:legacySpace="0" w:legacyIndent="708"/>
      <w:lvlJc w:val="left"/>
      <w:pPr>
        <w:ind w:left="2634" w:hanging="708"/>
      </w:pPr>
    </w:lvl>
    <w:lvl w:ilvl="6">
      <w:start w:val="1"/>
      <w:numFmt w:val="lowerRoman"/>
      <w:pStyle w:val="Heading7"/>
      <w:lvlText w:val="(%7)"/>
      <w:legacy w:legacy="1" w:legacySpace="0" w:legacyIndent="708"/>
      <w:lvlJc w:val="left"/>
      <w:pPr>
        <w:ind w:left="3342" w:hanging="708"/>
      </w:pPr>
    </w:lvl>
    <w:lvl w:ilvl="7">
      <w:start w:val="1"/>
      <w:numFmt w:val="lowerLetter"/>
      <w:pStyle w:val="Heading8"/>
      <w:lvlText w:val="(%8)"/>
      <w:legacy w:legacy="1" w:legacySpace="0" w:legacyIndent="708"/>
      <w:lvlJc w:val="left"/>
      <w:pPr>
        <w:ind w:left="4050" w:hanging="708"/>
      </w:pPr>
    </w:lvl>
    <w:lvl w:ilvl="8">
      <w:start w:val="1"/>
      <w:numFmt w:val="lowerRoman"/>
      <w:pStyle w:val="Heading9"/>
      <w:lvlText w:val="(%9)"/>
      <w:legacy w:legacy="1" w:legacySpace="0" w:legacyIndent="708"/>
      <w:lvlJc w:val="left"/>
      <w:pPr>
        <w:ind w:left="4758" w:hanging="708"/>
      </w:pPr>
    </w:lvl>
  </w:abstractNum>
  <w:abstractNum w:abstractNumId="1" w15:restartNumberingAfterBreak="0">
    <w:nsid w:val="267E7863"/>
    <w:multiLevelType w:val="multilevel"/>
    <w:tmpl w:val="267E7863"/>
    <w:lvl w:ilvl="0">
      <w:start w:val="1"/>
      <w:numFmt w:val="decimal"/>
      <w:pStyle w:val="CSIT-Lis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6D32A7A"/>
    <w:multiLevelType w:val="singleLevel"/>
    <w:tmpl w:val="26D32A7A"/>
    <w:lvl w:ilvl="0">
      <w:start w:val="1"/>
      <w:numFmt w:val="decimal"/>
      <w:pStyle w:val="Literature"/>
      <w:lvlText w:val="%1."/>
      <w:lvlJc w:val="left"/>
      <w:pPr>
        <w:tabs>
          <w:tab w:val="left" w:pos="567"/>
        </w:tabs>
        <w:ind w:left="567" w:hanging="567"/>
      </w:pPr>
      <w:rPr>
        <w:b w:val="0"/>
        <w:i w:val="0"/>
        <w:sz w:val="24"/>
        <w:u w:val="none"/>
      </w:rPr>
    </w:lvl>
  </w:abstractNum>
  <w:abstractNum w:abstractNumId="3" w15:restartNumberingAfterBreak="0">
    <w:nsid w:val="27884BBE"/>
    <w:multiLevelType w:val="multilevel"/>
    <w:tmpl w:val="27884BBE"/>
    <w:lvl w:ilvl="0">
      <w:start w:val="1"/>
      <w:numFmt w:val="bullet"/>
      <w:pStyle w:val="list10pt1"/>
      <w:lvlText w:val=""/>
      <w:lvlJc w:val="left"/>
      <w:pPr>
        <w:tabs>
          <w:tab w:val="left" w:pos="720"/>
        </w:tabs>
        <w:ind w:left="865" w:hanging="145"/>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EFF6A6E"/>
    <w:multiLevelType w:val="multilevel"/>
    <w:tmpl w:val="6EFF6A6E"/>
    <w:lvl w:ilvl="0">
      <w:start w:val="1"/>
      <w:numFmt w:val="bullet"/>
      <w:pStyle w:val="list10pt"/>
      <w:lvlText w:val=""/>
      <w:lvlJc w:val="left"/>
      <w:pPr>
        <w:tabs>
          <w:tab w:val="left" w:pos="851"/>
        </w:tabs>
        <w:ind w:left="415" w:firstLine="436"/>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81023087">
    <w:abstractNumId w:val="0"/>
  </w:num>
  <w:num w:numId="2" w16cid:durableId="805053166">
    <w:abstractNumId w:val="4"/>
  </w:num>
  <w:num w:numId="3" w16cid:durableId="2095474281">
    <w:abstractNumId w:val="3"/>
  </w:num>
  <w:num w:numId="4" w16cid:durableId="1306621921">
    <w:abstractNumId w:val="1"/>
  </w:num>
  <w:num w:numId="5" w16cid:durableId="201328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TUxNzYzNTQytzRQ0lEKTi0uzszPAykwrAUAgQyM6CwAAAA="/>
  </w:docVars>
  <w:rsids>
    <w:rsidRoot w:val="00441201"/>
    <w:rsid w:val="0000007B"/>
    <w:rsid w:val="0000165C"/>
    <w:rsid w:val="0000486D"/>
    <w:rsid w:val="000049C1"/>
    <w:rsid w:val="00005CE8"/>
    <w:rsid w:val="00014BCD"/>
    <w:rsid w:val="00016A10"/>
    <w:rsid w:val="00017168"/>
    <w:rsid w:val="000264CE"/>
    <w:rsid w:val="00031C1D"/>
    <w:rsid w:val="00032B25"/>
    <w:rsid w:val="00033A1A"/>
    <w:rsid w:val="00035A64"/>
    <w:rsid w:val="00037783"/>
    <w:rsid w:val="000405F7"/>
    <w:rsid w:val="00040E53"/>
    <w:rsid w:val="00042535"/>
    <w:rsid w:val="0004543F"/>
    <w:rsid w:val="00046E22"/>
    <w:rsid w:val="00054B1E"/>
    <w:rsid w:val="00056B08"/>
    <w:rsid w:val="00060A12"/>
    <w:rsid w:val="000646D0"/>
    <w:rsid w:val="00067AF0"/>
    <w:rsid w:val="000724E0"/>
    <w:rsid w:val="00072E13"/>
    <w:rsid w:val="000739C0"/>
    <w:rsid w:val="00073A6F"/>
    <w:rsid w:val="00077CB7"/>
    <w:rsid w:val="000837E7"/>
    <w:rsid w:val="00085D34"/>
    <w:rsid w:val="0009024C"/>
    <w:rsid w:val="00097533"/>
    <w:rsid w:val="000A2A53"/>
    <w:rsid w:val="000A316D"/>
    <w:rsid w:val="000A3AA7"/>
    <w:rsid w:val="000A5CAD"/>
    <w:rsid w:val="000B2C68"/>
    <w:rsid w:val="000B3279"/>
    <w:rsid w:val="000B3978"/>
    <w:rsid w:val="000D099A"/>
    <w:rsid w:val="000E1C10"/>
    <w:rsid w:val="000E2853"/>
    <w:rsid w:val="000E3E99"/>
    <w:rsid w:val="000E6B38"/>
    <w:rsid w:val="000F0BB8"/>
    <w:rsid w:val="000F2F46"/>
    <w:rsid w:val="000F38C3"/>
    <w:rsid w:val="00101684"/>
    <w:rsid w:val="00103045"/>
    <w:rsid w:val="001034A0"/>
    <w:rsid w:val="00104C40"/>
    <w:rsid w:val="0010529B"/>
    <w:rsid w:val="001104BA"/>
    <w:rsid w:val="001141FD"/>
    <w:rsid w:val="00117726"/>
    <w:rsid w:val="0012050E"/>
    <w:rsid w:val="00125C64"/>
    <w:rsid w:val="001320A6"/>
    <w:rsid w:val="00136420"/>
    <w:rsid w:val="0013654C"/>
    <w:rsid w:val="00136B6A"/>
    <w:rsid w:val="0014168B"/>
    <w:rsid w:val="00144567"/>
    <w:rsid w:val="001459CC"/>
    <w:rsid w:val="0015101E"/>
    <w:rsid w:val="00153B8C"/>
    <w:rsid w:val="001570E9"/>
    <w:rsid w:val="00160FC1"/>
    <w:rsid w:val="00161B9B"/>
    <w:rsid w:val="00164E43"/>
    <w:rsid w:val="00165018"/>
    <w:rsid w:val="00167893"/>
    <w:rsid w:val="001721F6"/>
    <w:rsid w:val="00174035"/>
    <w:rsid w:val="00187357"/>
    <w:rsid w:val="00190BCB"/>
    <w:rsid w:val="001A4FC4"/>
    <w:rsid w:val="001A5AEA"/>
    <w:rsid w:val="001A60B6"/>
    <w:rsid w:val="001A7AD7"/>
    <w:rsid w:val="001B3650"/>
    <w:rsid w:val="001C051A"/>
    <w:rsid w:val="001C05D9"/>
    <w:rsid w:val="001C0D31"/>
    <w:rsid w:val="001C60F4"/>
    <w:rsid w:val="001D0C13"/>
    <w:rsid w:val="001D12CB"/>
    <w:rsid w:val="001D73F7"/>
    <w:rsid w:val="001E3DCD"/>
    <w:rsid w:val="001E4703"/>
    <w:rsid w:val="001E4743"/>
    <w:rsid w:val="001E6232"/>
    <w:rsid w:val="001E67B3"/>
    <w:rsid w:val="001F2B42"/>
    <w:rsid w:val="001F3502"/>
    <w:rsid w:val="002002EB"/>
    <w:rsid w:val="002046E8"/>
    <w:rsid w:val="00204762"/>
    <w:rsid w:val="0020521E"/>
    <w:rsid w:val="00212470"/>
    <w:rsid w:val="00212794"/>
    <w:rsid w:val="002202EE"/>
    <w:rsid w:val="00223533"/>
    <w:rsid w:val="00227661"/>
    <w:rsid w:val="00230270"/>
    <w:rsid w:val="00235039"/>
    <w:rsid w:val="00235875"/>
    <w:rsid w:val="00236B9B"/>
    <w:rsid w:val="00236E71"/>
    <w:rsid w:val="00251430"/>
    <w:rsid w:val="0025324C"/>
    <w:rsid w:val="0025443C"/>
    <w:rsid w:val="00260FC8"/>
    <w:rsid w:val="002654FD"/>
    <w:rsid w:val="00266BB7"/>
    <w:rsid w:val="00270310"/>
    <w:rsid w:val="002746BE"/>
    <w:rsid w:val="0027694D"/>
    <w:rsid w:val="002824A9"/>
    <w:rsid w:val="00282BEE"/>
    <w:rsid w:val="00285D13"/>
    <w:rsid w:val="00286E9C"/>
    <w:rsid w:val="0029325A"/>
    <w:rsid w:val="0029417B"/>
    <w:rsid w:val="00297D7B"/>
    <w:rsid w:val="002A089A"/>
    <w:rsid w:val="002A1612"/>
    <w:rsid w:val="002A49F9"/>
    <w:rsid w:val="002B1B55"/>
    <w:rsid w:val="002B301C"/>
    <w:rsid w:val="002C4B95"/>
    <w:rsid w:val="002C5892"/>
    <w:rsid w:val="002D06CD"/>
    <w:rsid w:val="002D0C26"/>
    <w:rsid w:val="002D3832"/>
    <w:rsid w:val="002D5129"/>
    <w:rsid w:val="002E0000"/>
    <w:rsid w:val="002E5ADE"/>
    <w:rsid w:val="002F61CB"/>
    <w:rsid w:val="003056D9"/>
    <w:rsid w:val="00310E16"/>
    <w:rsid w:val="00313EE1"/>
    <w:rsid w:val="00315253"/>
    <w:rsid w:val="00315270"/>
    <w:rsid w:val="0031550B"/>
    <w:rsid w:val="00316524"/>
    <w:rsid w:val="003167F5"/>
    <w:rsid w:val="00316F5C"/>
    <w:rsid w:val="0032161F"/>
    <w:rsid w:val="00321831"/>
    <w:rsid w:val="00326368"/>
    <w:rsid w:val="00326BA7"/>
    <w:rsid w:val="003306E8"/>
    <w:rsid w:val="0033395F"/>
    <w:rsid w:val="00335122"/>
    <w:rsid w:val="003352B5"/>
    <w:rsid w:val="00340E47"/>
    <w:rsid w:val="00340F88"/>
    <w:rsid w:val="003425D7"/>
    <w:rsid w:val="0034420C"/>
    <w:rsid w:val="00344B78"/>
    <w:rsid w:val="00352A0F"/>
    <w:rsid w:val="00353334"/>
    <w:rsid w:val="00354289"/>
    <w:rsid w:val="003551BE"/>
    <w:rsid w:val="00356E23"/>
    <w:rsid w:val="00356E96"/>
    <w:rsid w:val="00360B99"/>
    <w:rsid w:val="00360D19"/>
    <w:rsid w:val="00366439"/>
    <w:rsid w:val="00367C1F"/>
    <w:rsid w:val="0037030C"/>
    <w:rsid w:val="003710E1"/>
    <w:rsid w:val="00375699"/>
    <w:rsid w:val="00380B5E"/>
    <w:rsid w:val="003845FD"/>
    <w:rsid w:val="003877D8"/>
    <w:rsid w:val="00395E9C"/>
    <w:rsid w:val="00396331"/>
    <w:rsid w:val="00397A9E"/>
    <w:rsid w:val="003A278A"/>
    <w:rsid w:val="003A3A4C"/>
    <w:rsid w:val="003A7F5D"/>
    <w:rsid w:val="003B139B"/>
    <w:rsid w:val="003B2142"/>
    <w:rsid w:val="003B22BE"/>
    <w:rsid w:val="003B5991"/>
    <w:rsid w:val="003B6444"/>
    <w:rsid w:val="003C0238"/>
    <w:rsid w:val="003C0349"/>
    <w:rsid w:val="003C0B96"/>
    <w:rsid w:val="003C5AEA"/>
    <w:rsid w:val="003C62C2"/>
    <w:rsid w:val="003D152B"/>
    <w:rsid w:val="003D73BC"/>
    <w:rsid w:val="003E028D"/>
    <w:rsid w:val="003E0512"/>
    <w:rsid w:val="003E1485"/>
    <w:rsid w:val="003F0B24"/>
    <w:rsid w:val="003F1D56"/>
    <w:rsid w:val="003F300F"/>
    <w:rsid w:val="003F45F4"/>
    <w:rsid w:val="0040020B"/>
    <w:rsid w:val="004037E5"/>
    <w:rsid w:val="00410003"/>
    <w:rsid w:val="0041407E"/>
    <w:rsid w:val="00414323"/>
    <w:rsid w:val="00416644"/>
    <w:rsid w:val="00416DA1"/>
    <w:rsid w:val="0042132D"/>
    <w:rsid w:val="00423E12"/>
    <w:rsid w:val="00430364"/>
    <w:rsid w:val="00430D1B"/>
    <w:rsid w:val="00430DB5"/>
    <w:rsid w:val="00433243"/>
    <w:rsid w:val="0043538F"/>
    <w:rsid w:val="004358DA"/>
    <w:rsid w:val="00435B83"/>
    <w:rsid w:val="00441201"/>
    <w:rsid w:val="004425CE"/>
    <w:rsid w:val="00447BD1"/>
    <w:rsid w:val="004508A4"/>
    <w:rsid w:val="00454453"/>
    <w:rsid w:val="00462967"/>
    <w:rsid w:val="004633E1"/>
    <w:rsid w:val="00464354"/>
    <w:rsid w:val="00467FCE"/>
    <w:rsid w:val="00470461"/>
    <w:rsid w:val="004717C7"/>
    <w:rsid w:val="0047398E"/>
    <w:rsid w:val="00473A32"/>
    <w:rsid w:val="00481048"/>
    <w:rsid w:val="004911B2"/>
    <w:rsid w:val="004913BA"/>
    <w:rsid w:val="004A208C"/>
    <w:rsid w:val="004A4714"/>
    <w:rsid w:val="004A4756"/>
    <w:rsid w:val="004B7C78"/>
    <w:rsid w:val="004C0BBE"/>
    <w:rsid w:val="004C7E9B"/>
    <w:rsid w:val="004D046A"/>
    <w:rsid w:val="004D5182"/>
    <w:rsid w:val="004E1D06"/>
    <w:rsid w:val="004E6338"/>
    <w:rsid w:val="004F45FF"/>
    <w:rsid w:val="004F4F82"/>
    <w:rsid w:val="004F52A4"/>
    <w:rsid w:val="004F7C36"/>
    <w:rsid w:val="005018FA"/>
    <w:rsid w:val="00507270"/>
    <w:rsid w:val="005077D4"/>
    <w:rsid w:val="00510B82"/>
    <w:rsid w:val="005119D1"/>
    <w:rsid w:val="00513113"/>
    <w:rsid w:val="005170D6"/>
    <w:rsid w:val="00517AEE"/>
    <w:rsid w:val="00522BAE"/>
    <w:rsid w:val="00540AFB"/>
    <w:rsid w:val="00543986"/>
    <w:rsid w:val="0055158A"/>
    <w:rsid w:val="00554EC4"/>
    <w:rsid w:val="00557638"/>
    <w:rsid w:val="005630D6"/>
    <w:rsid w:val="00564D37"/>
    <w:rsid w:val="005650E1"/>
    <w:rsid w:val="00566CD8"/>
    <w:rsid w:val="005674B2"/>
    <w:rsid w:val="0057234B"/>
    <w:rsid w:val="0057288E"/>
    <w:rsid w:val="00574851"/>
    <w:rsid w:val="00574C97"/>
    <w:rsid w:val="0058355B"/>
    <w:rsid w:val="005867DD"/>
    <w:rsid w:val="005871C6"/>
    <w:rsid w:val="005924C4"/>
    <w:rsid w:val="005925B4"/>
    <w:rsid w:val="005948CB"/>
    <w:rsid w:val="00595D47"/>
    <w:rsid w:val="005A1C66"/>
    <w:rsid w:val="005A219C"/>
    <w:rsid w:val="005A616B"/>
    <w:rsid w:val="005B4704"/>
    <w:rsid w:val="005B4ABB"/>
    <w:rsid w:val="005C50D9"/>
    <w:rsid w:val="005C51FE"/>
    <w:rsid w:val="005C684F"/>
    <w:rsid w:val="005C6C53"/>
    <w:rsid w:val="005D084F"/>
    <w:rsid w:val="005D48E5"/>
    <w:rsid w:val="005D7E50"/>
    <w:rsid w:val="005E2CC7"/>
    <w:rsid w:val="005E78E4"/>
    <w:rsid w:val="005F133A"/>
    <w:rsid w:val="005F17AC"/>
    <w:rsid w:val="005F7382"/>
    <w:rsid w:val="005F7730"/>
    <w:rsid w:val="00610363"/>
    <w:rsid w:val="00612255"/>
    <w:rsid w:val="006229A7"/>
    <w:rsid w:val="00624812"/>
    <w:rsid w:val="006262CB"/>
    <w:rsid w:val="006266D0"/>
    <w:rsid w:val="00627413"/>
    <w:rsid w:val="00630253"/>
    <w:rsid w:val="00631C03"/>
    <w:rsid w:val="00634D2E"/>
    <w:rsid w:val="00637745"/>
    <w:rsid w:val="006518B7"/>
    <w:rsid w:val="00653251"/>
    <w:rsid w:val="0065429C"/>
    <w:rsid w:val="00655FDF"/>
    <w:rsid w:val="00657071"/>
    <w:rsid w:val="0066109B"/>
    <w:rsid w:val="00662E9F"/>
    <w:rsid w:val="0067284D"/>
    <w:rsid w:val="006744D0"/>
    <w:rsid w:val="00681580"/>
    <w:rsid w:val="00681597"/>
    <w:rsid w:val="00684946"/>
    <w:rsid w:val="0068782F"/>
    <w:rsid w:val="00690E96"/>
    <w:rsid w:val="006966A6"/>
    <w:rsid w:val="006A037A"/>
    <w:rsid w:val="006A378C"/>
    <w:rsid w:val="006A5351"/>
    <w:rsid w:val="006A53CD"/>
    <w:rsid w:val="006B28EA"/>
    <w:rsid w:val="006B2D32"/>
    <w:rsid w:val="006B6203"/>
    <w:rsid w:val="006B6619"/>
    <w:rsid w:val="006C36AB"/>
    <w:rsid w:val="006C74DD"/>
    <w:rsid w:val="006D2D89"/>
    <w:rsid w:val="006D69AC"/>
    <w:rsid w:val="006E1C22"/>
    <w:rsid w:val="006E43FE"/>
    <w:rsid w:val="006E4B8C"/>
    <w:rsid w:val="006E50C2"/>
    <w:rsid w:val="006E5D6A"/>
    <w:rsid w:val="006E6D1C"/>
    <w:rsid w:val="00704C57"/>
    <w:rsid w:val="007065C4"/>
    <w:rsid w:val="00714E50"/>
    <w:rsid w:val="0071647D"/>
    <w:rsid w:val="0071715C"/>
    <w:rsid w:val="00724C34"/>
    <w:rsid w:val="00726297"/>
    <w:rsid w:val="0073006F"/>
    <w:rsid w:val="00730BA6"/>
    <w:rsid w:val="007379A7"/>
    <w:rsid w:val="0074663F"/>
    <w:rsid w:val="0075205C"/>
    <w:rsid w:val="00752208"/>
    <w:rsid w:val="007536FE"/>
    <w:rsid w:val="00754928"/>
    <w:rsid w:val="00755A6A"/>
    <w:rsid w:val="00757CAC"/>
    <w:rsid w:val="00764855"/>
    <w:rsid w:val="007662AF"/>
    <w:rsid w:val="00767FB8"/>
    <w:rsid w:val="00773A68"/>
    <w:rsid w:val="007826DA"/>
    <w:rsid w:val="00782FC7"/>
    <w:rsid w:val="0078497E"/>
    <w:rsid w:val="00790008"/>
    <w:rsid w:val="007910C1"/>
    <w:rsid w:val="00794042"/>
    <w:rsid w:val="007959D7"/>
    <w:rsid w:val="00797E83"/>
    <w:rsid w:val="007A27C9"/>
    <w:rsid w:val="007A31E8"/>
    <w:rsid w:val="007A5526"/>
    <w:rsid w:val="007B0C38"/>
    <w:rsid w:val="007B2EAC"/>
    <w:rsid w:val="007B42DC"/>
    <w:rsid w:val="007C3E8D"/>
    <w:rsid w:val="007C5929"/>
    <w:rsid w:val="007C5BA8"/>
    <w:rsid w:val="007C6E58"/>
    <w:rsid w:val="007D0839"/>
    <w:rsid w:val="007D187C"/>
    <w:rsid w:val="007D3C32"/>
    <w:rsid w:val="007D57E5"/>
    <w:rsid w:val="007E6AB8"/>
    <w:rsid w:val="007F0A64"/>
    <w:rsid w:val="007F459A"/>
    <w:rsid w:val="007F52B5"/>
    <w:rsid w:val="007F57A2"/>
    <w:rsid w:val="00803FD7"/>
    <w:rsid w:val="008115D1"/>
    <w:rsid w:val="0081270E"/>
    <w:rsid w:val="00814284"/>
    <w:rsid w:val="00814AC0"/>
    <w:rsid w:val="0082314F"/>
    <w:rsid w:val="00823952"/>
    <w:rsid w:val="00830113"/>
    <w:rsid w:val="00835070"/>
    <w:rsid w:val="00841478"/>
    <w:rsid w:val="00846038"/>
    <w:rsid w:val="00847081"/>
    <w:rsid w:val="00852F13"/>
    <w:rsid w:val="00854F4F"/>
    <w:rsid w:val="008555D6"/>
    <w:rsid w:val="008562FA"/>
    <w:rsid w:val="0086138F"/>
    <w:rsid w:val="00861C0B"/>
    <w:rsid w:val="0086316A"/>
    <w:rsid w:val="0087096B"/>
    <w:rsid w:val="008732DB"/>
    <w:rsid w:val="00873AE4"/>
    <w:rsid w:val="008748B0"/>
    <w:rsid w:val="00876CA2"/>
    <w:rsid w:val="00876E53"/>
    <w:rsid w:val="008802B9"/>
    <w:rsid w:val="00887592"/>
    <w:rsid w:val="00891F8C"/>
    <w:rsid w:val="00891F9F"/>
    <w:rsid w:val="008973CA"/>
    <w:rsid w:val="008A04AF"/>
    <w:rsid w:val="008A0C56"/>
    <w:rsid w:val="008A10BD"/>
    <w:rsid w:val="008A1B24"/>
    <w:rsid w:val="008A2377"/>
    <w:rsid w:val="008A5DA9"/>
    <w:rsid w:val="008B0C1E"/>
    <w:rsid w:val="008B594C"/>
    <w:rsid w:val="008C2259"/>
    <w:rsid w:val="008C3F94"/>
    <w:rsid w:val="008C5A1B"/>
    <w:rsid w:val="008C6ABC"/>
    <w:rsid w:val="008D14AF"/>
    <w:rsid w:val="008E0B54"/>
    <w:rsid w:val="008E291B"/>
    <w:rsid w:val="008E35D6"/>
    <w:rsid w:val="008F2362"/>
    <w:rsid w:val="008F3E4B"/>
    <w:rsid w:val="008F649D"/>
    <w:rsid w:val="009006C1"/>
    <w:rsid w:val="00901A3B"/>
    <w:rsid w:val="00901F97"/>
    <w:rsid w:val="00904568"/>
    <w:rsid w:val="0091090A"/>
    <w:rsid w:val="009127BB"/>
    <w:rsid w:val="00915F88"/>
    <w:rsid w:val="0092227C"/>
    <w:rsid w:val="00924D2F"/>
    <w:rsid w:val="0092580A"/>
    <w:rsid w:val="00931EDE"/>
    <w:rsid w:val="0093408A"/>
    <w:rsid w:val="00935357"/>
    <w:rsid w:val="0093568D"/>
    <w:rsid w:val="009366DA"/>
    <w:rsid w:val="0094298A"/>
    <w:rsid w:val="00946429"/>
    <w:rsid w:val="0094646D"/>
    <w:rsid w:val="00953CB7"/>
    <w:rsid w:val="009557A0"/>
    <w:rsid w:val="009600EB"/>
    <w:rsid w:val="00965823"/>
    <w:rsid w:val="009724CC"/>
    <w:rsid w:val="009733B0"/>
    <w:rsid w:val="0098111B"/>
    <w:rsid w:val="00981573"/>
    <w:rsid w:val="00981837"/>
    <w:rsid w:val="00982AF6"/>
    <w:rsid w:val="009830ED"/>
    <w:rsid w:val="00986A14"/>
    <w:rsid w:val="00986DD8"/>
    <w:rsid w:val="00990510"/>
    <w:rsid w:val="0099107F"/>
    <w:rsid w:val="00993168"/>
    <w:rsid w:val="00994DB6"/>
    <w:rsid w:val="00995049"/>
    <w:rsid w:val="009A0DC0"/>
    <w:rsid w:val="009A2839"/>
    <w:rsid w:val="009A4CD3"/>
    <w:rsid w:val="009A693F"/>
    <w:rsid w:val="009A7368"/>
    <w:rsid w:val="009A7847"/>
    <w:rsid w:val="009B273D"/>
    <w:rsid w:val="009B68B3"/>
    <w:rsid w:val="009C18A8"/>
    <w:rsid w:val="009C2D8D"/>
    <w:rsid w:val="009C536D"/>
    <w:rsid w:val="009D1206"/>
    <w:rsid w:val="009D2A52"/>
    <w:rsid w:val="009D2D25"/>
    <w:rsid w:val="009D3257"/>
    <w:rsid w:val="009D46D9"/>
    <w:rsid w:val="009D5A7B"/>
    <w:rsid w:val="009E0210"/>
    <w:rsid w:val="009E1EA9"/>
    <w:rsid w:val="009E3263"/>
    <w:rsid w:val="009E360A"/>
    <w:rsid w:val="009E5191"/>
    <w:rsid w:val="009F2211"/>
    <w:rsid w:val="009F4EAF"/>
    <w:rsid w:val="009F51BA"/>
    <w:rsid w:val="009F5608"/>
    <w:rsid w:val="009F743C"/>
    <w:rsid w:val="00A0198F"/>
    <w:rsid w:val="00A051B7"/>
    <w:rsid w:val="00A0617D"/>
    <w:rsid w:val="00A1041F"/>
    <w:rsid w:val="00A120A4"/>
    <w:rsid w:val="00A13CC1"/>
    <w:rsid w:val="00A233FA"/>
    <w:rsid w:val="00A2502D"/>
    <w:rsid w:val="00A25CD0"/>
    <w:rsid w:val="00A3002E"/>
    <w:rsid w:val="00A30A9A"/>
    <w:rsid w:val="00A31B37"/>
    <w:rsid w:val="00A33645"/>
    <w:rsid w:val="00A415D0"/>
    <w:rsid w:val="00A41EB4"/>
    <w:rsid w:val="00A50BFA"/>
    <w:rsid w:val="00A543E8"/>
    <w:rsid w:val="00A56A3D"/>
    <w:rsid w:val="00A635A6"/>
    <w:rsid w:val="00A65BE8"/>
    <w:rsid w:val="00A67F8F"/>
    <w:rsid w:val="00A710F5"/>
    <w:rsid w:val="00A71428"/>
    <w:rsid w:val="00A73CFD"/>
    <w:rsid w:val="00A80BC3"/>
    <w:rsid w:val="00A81E07"/>
    <w:rsid w:val="00A90E3F"/>
    <w:rsid w:val="00A94852"/>
    <w:rsid w:val="00A94DC1"/>
    <w:rsid w:val="00AA20B5"/>
    <w:rsid w:val="00AA70E2"/>
    <w:rsid w:val="00AB0D23"/>
    <w:rsid w:val="00AB325F"/>
    <w:rsid w:val="00AB44DC"/>
    <w:rsid w:val="00AB5D63"/>
    <w:rsid w:val="00AC6E64"/>
    <w:rsid w:val="00AD1830"/>
    <w:rsid w:val="00AD323D"/>
    <w:rsid w:val="00AD52A1"/>
    <w:rsid w:val="00AD79CC"/>
    <w:rsid w:val="00AE0622"/>
    <w:rsid w:val="00AE3A32"/>
    <w:rsid w:val="00AE532E"/>
    <w:rsid w:val="00AE786B"/>
    <w:rsid w:val="00AF08C3"/>
    <w:rsid w:val="00AF380A"/>
    <w:rsid w:val="00AF5FCA"/>
    <w:rsid w:val="00B00774"/>
    <w:rsid w:val="00B016C7"/>
    <w:rsid w:val="00B03246"/>
    <w:rsid w:val="00B104FD"/>
    <w:rsid w:val="00B134DD"/>
    <w:rsid w:val="00B13C25"/>
    <w:rsid w:val="00B14704"/>
    <w:rsid w:val="00B1552D"/>
    <w:rsid w:val="00B15E8D"/>
    <w:rsid w:val="00B17FA7"/>
    <w:rsid w:val="00B253B8"/>
    <w:rsid w:val="00B27051"/>
    <w:rsid w:val="00B27EF3"/>
    <w:rsid w:val="00B37B20"/>
    <w:rsid w:val="00B37FF4"/>
    <w:rsid w:val="00B414DD"/>
    <w:rsid w:val="00B47427"/>
    <w:rsid w:val="00B516DC"/>
    <w:rsid w:val="00B55869"/>
    <w:rsid w:val="00B56274"/>
    <w:rsid w:val="00B6522C"/>
    <w:rsid w:val="00B70E37"/>
    <w:rsid w:val="00B7175E"/>
    <w:rsid w:val="00B73890"/>
    <w:rsid w:val="00B759E6"/>
    <w:rsid w:val="00B75EE0"/>
    <w:rsid w:val="00B854B4"/>
    <w:rsid w:val="00B876D9"/>
    <w:rsid w:val="00B93FAA"/>
    <w:rsid w:val="00B97B74"/>
    <w:rsid w:val="00BA68B4"/>
    <w:rsid w:val="00BB4376"/>
    <w:rsid w:val="00BC2BE3"/>
    <w:rsid w:val="00BC370F"/>
    <w:rsid w:val="00BC41B9"/>
    <w:rsid w:val="00BC4E34"/>
    <w:rsid w:val="00BC5207"/>
    <w:rsid w:val="00BD301B"/>
    <w:rsid w:val="00BE1AA4"/>
    <w:rsid w:val="00BE4342"/>
    <w:rsid w:val="00BE5054"/>
    <w:rsid w:val="00BE6FC5"/>
    <w:rsid w:val="00BF316F"/>
    <w:rsid w:val="00BF43B8"/>
    <w:rsid w:val="00BF462F"/>
    <w:rsid w:val="00BF62AB"/>
    <w:rsid w:val="00C025EA"/>
    <w:rsid w:val="00C043E0"/>
    <w:rsid w:val="00C10652"/>
    <w:rsid w:val="00C114F8"/>
    <w:rsid w:val="00C211B0"/>
    <w:rsid w:val="00C32A49"/>
    <w:rsid w:val="00C41CC5"/>
    <w:rsid w:val="00C42581"/>
    <w:rsid w:val="00C42D33"/>
    <w:rsid w:val="00C43FDD"/>
    <w:rsid w:val="00C52F95"/>
    <w:rsid w:val="00C53C02"/>
    <w:rsid w:val="00C54E08"/>
    <w:rsid w:val="00C56CE1"/>
    <w:rsid w:val="00C56DC1"/>
    <w:rsid w:val="00C6154C"/>
    <w:rsid w:val="00C6177A"/>
    <w:rsid w:val="00C66C7F"/>
    <w:rsid w:val="00C675F0"/>
    <w:rsid w:val="00C72D31"/>
    <w:rsid w:val="00C73950"/>
    <w:rsid w:val="00C746B7"/>
    <w:rsid w:val="00C80504"/>
    <w:rsid w:val="00C92FB7"/>
    <w:rsid w:val="00C93511"/>
    <w:rsid w:val="00C97793"/>
    <w:rsid w:val="00CA181E"/>
    <w:rsid w:val="00CA1AD6"/>
    <w:rsid w:val="00CA4545"/>
    <w:rsid w:val="00CA611A"/>
    <w:rsid w:val="00CB4F8E"/>
    <w:rsid w:val="00CC1912"/>
    <w:rsid w:val="00CC3CC4"/>
    <w:rsid w:val="00CC4333"/>
    <w:rsid w:val="00CC47E3"/>
    <w:rsid w:val="00CC5828"/>
    <w:rsid w:val="00CC7ED4"/>
    <w:rsid w:val="00CD037E"/>
    <w:rsid w:val="00CD25B9"/>
    <w:rsid w:val="00CD59D1"/>
    <w:rsid w:val="00CD68B7"/>
    <w:rsid w:val="00CD792A"/>
    <w:rsid w:val="00CD7DD5"/>
    <w:rsid w:val="00CE4AF2"/>
    <w:rsid w:val="00CE4DF0"/>
    <w:rsid w:val="00CF2A91"/>
    <w:rsid w:val="00D00154"/>
    <w:rsid w:val="00D00838"/>
    <w:rsid w:val="00D00EED"/>
    <w:rsid w:val="00D016B7"/>
    <w:rsid w:val="00D05CA7"/>
    <w:rsid w:val="00D06E8C"/>
    <w:rsid w:val="00D1582A"/>
    <w:rsid w:val="00D158B5"/>
    <w:rsid w:val="00D1625F"/>
    <w:rsid w:val="00D2269B"/>
    <w:rsid w:val="00D312D1"/>
    <w:rsid w:val="00D32915"/>
    <w:rsid w:val="00D4234C"/>
    <w:rsid w:val="00D46B6F"/>
    <w:rsid w:val="00D50551"/>
    <w:rsid w:val="00D6133A"/>
    <w:rsid w:val="00D63762"/>
    <w:rsid w:val="00D668DF"/>
    <w:rsid w:val="00D71736"/>
    <w:rsid w:val="00D72CF5"/>
    <w:rsid w:val="00D74575"/>
    <w:rsid w:val="00D751C5"/>
    <w:rsid w:val="00D76C7D"/>
    <w:rsid w:val="00D773BE"/>
    <w:rsid w:val="00D8198F"/>
    <w:rsid w:val="00D902A3"/>
    <w:rsid w:val="00D91ADD"/>
    <w:rsid w:val="00D923C1"/>
    <w:rsid w:val="00D947F0"/>
    <w:rsid w:val="00D94C92"/>
    <w:rsid w:val="00D95A4C"/>
    <w:rsid w:val="00D96266"/>
    <w:rsid w:val="00D979D1"/>
    <w:rsid w:val="00D97AF4"/>
    <w:rsid w:val="00DA09E8"/>
    <w:rsid w:val="00DA1AE0"/>
    <w:rsid w:val="00DA3C8C"/>
    <w:rsid w:val="00DA3D1F"/>
    <w:rsid w:val="00DB0738"/>
    <w:rsid w:val="00DB6CD3"/>
    <w:rsid w:val="00DC255B"/>
    <w:rsid w:val="00DC526D"/>
    <w:rsid w:val="00DC56A5"/>
    <w:rsid w:val="00DC5AE0"/>
    <w:rsid w:val="00DD19CF"/>
    <w:rsid w:val="00DD353A"/>
    <w:rsid w:val="00DD5EA1"/>
    <w:rsid w:val="00DD6007"/>
    <w:rsid w:val="00DE241F"/>
    <w:rsid w:val="00DE2E00"/>
    <w:rsid w:val="00DE2F91"/>
    <w:rsid w:val="00DE6B2B"/>
    <w:rsid w:val="00DF2F71"/>
    <w:rsid w:val="00DF54E0"/>
    <w:rsid w:val="00E06E65"/>
    <w:rsid w:val="00E070F9"/>
    <w:rsid w:val="00E230D5"/>
    <w:rsid w:val="00E24123"/>
    <w:rsid w:val="00E30541"/>
    <w:rsid w:val="00E31B4C"/>
    <w:rsid w:val="00E34CAB"/>
    <w:rsid w:val="00E415F4"/>
    <w:rsid w:val="00E42500"/>
    <w:rsid w:val="00E508BE"/>
    <w:rsid w:val="00E55AAF"/>
    <w:rsid w:val="00E572B4"/>
    <w:rsid w:val="00E576A6"/>
    <w:rsid w:val="00E57744"/>
    <w:rsid w:val="00E57C30"/>
    <w:rsid w:val="00E62AC5"/>
    <w:rsid w:val="00E646C9"/>
    <w:rsid w:val="00E707F9"/>
    <w:rsid w:val="00E74630"/>
    <w:rsid w:val="00E85E5A"/>
    <w:rsid w:val="00E864DE"/>
    <w:rsid w:val="00E917F3"/>
    <w:rsid w:val="00E93887"/>
    <w:rsid w:val="00E95A6F"/>
    <w:rsid w:val="00E96688"/>
    <w:rsid w:val="00EA0C92"/>
    <w:rsid w:val="00EA21AC"/>
    <w:rsid w:val="00EA2866"/>
    <w:rsid w:val="00EA4564"/>
    <w:rsid w:val="00EA65FE"/>
    <w:rsid w:val="00EB297F"/>
    <w:rsid w:val="00EB332B"/>
    <w:rsid w:val="00EB7A0A"/>
    <w:rsid w:val="00EB7F5C"/>
    <w:rsid w:val="00EC02D8"/>
    <w:rsid w:val="00EC3BF4"/>
    <w:rsid w:val="00EC7550"/>
    <w:rsid w:val="00ED2284"/>
    <w:rsid w:val="00ED2752"/>
    <w:rsid w:val="00EE623F"/>
    <w:rsid w:val="00EE7E82"/>
    <w:rsid w:val="00EF3B91"/>
    <w:rsid w:val="00F00869"/>
    <w:rsid w:val="00F12518"/>
    <w:rsid w:val="00F126E1"/>
    <w:rsid w:val="00F21190"/>
    <w:rsid w:val="00F212DD"/>
    <w:rsid w:val="00F27315"/>
    <w:rsid w:val="00F37DD1"/>
    <w:rsid w:val="00F435B5"/>
    <w:rsid w:val="00F45148"/>
    <w:rsid w:val="00F45898"/>
    <w:rsid w:val="00F53B61"/>
    <w:rsid w:val="00F57A7D"/>
    <w:rsid w:val="00F603D6"/>
    <w:rsid w:val="00F64336"/>
    <w:rsid w:val="00F66EC4"/>
    <w:rsid w:val="00F70947"/>
    <w:rsid w:val="00F80791"/>
    <w:rsid w:val="00F8268B"/>
    <w:rsid w:val="00F84B45"/>
    <w:rsid w:val="00F85254"/>
    <w:rsid w:val="00F873DE"/>
    <w:rsid w:val="00F90770"/>
    <w:rsid w:val="00F9159F"/>
    <w:rsid w:val="00F924B5"/>
    <w:rsid w:val="00F96B75"/>
    <w:rsid w:val="00FA0389"/>
    <w:rsid w:val="00FA44ED"/>
    <w:rsid w:val="00FA46B8"/>
    <w:rsid w:val="00FA5F68"/>
    <w:rsid w:val="00FA7101"/>
    <w:rsid w:val="00FB0FA4"/>
    <w:rsid w:val="00FB226A"/>
    <w:rsid w:val="00FB351F"/>
    <w:rsid w:val="00FB4766"/>
    <w:rsid w:val="00FC0201"/>
    <w:rsid w:val="00FC15AE"/>
    <w:rsid w:val="00FC4010"/>
    <w:rsid w:val="00FC4ABB"/>
    <w:rsid w:val="00FD2978"/>
    <w:rsid w:val="00FD3B2B"/>
    <w:rsid w:val="00FD4A72"/>
    <w:rsid w:val="00FE0E3B"/>
    <w:rsid w:val="00FE4ABB"/>
    <w:rsid w:val="00FE5BDF"/>
    <w:rsid w:val="00FE6315"/>
    <w:rsid w:val="00FE6D01"/>
    <w:rsid w:val="00FF2421"/>
    <w:rsid w:val="00FF2E19"/>
    <w:rsid w:val="00FF402F"/>
    <w:rsid w:val="00FF59A5"/>
    <w:rsid w:val="00FF6649"/>
    <w:rsid w:val="13B02F6B"/>
    <w:rsid w:val="186D0C1F"/>
    <w:rsid w:val="269E759F"/>
    <w:rsid w:val="4C4C77BA"/>
    <w:rsid w:val="5C3F5B11"/>
    <w:rsid w:val="762C5A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FF50F"/>
  <w15:docId w15:val="{632C23AE-C5CF-4314-A1FA-C3778FBC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3E8"/>
    <w:rPr>
      <w:sz w:val="24"/>
      <w:szCs w:val="24"/>
      <w:lang w:val="uk-UA" w:eastAsia="en-US"/>
    </w:rPr>
  </w:style>
  <w:style w:type="paragraph" w:styleId="Heading1">
    <w:name w:val="heading 1"/>
    <w:basedOn w:val="Normal"/>
    <w:next w:val="Normal"/>
    <w:qFormat/>
    <w:pPr>
      <w:keepNext/>
      <w:numPr>
        <w:numId w:val="1"/>
      </w:numPr>
      <w:tabs>
        <w:tab w:val="left" w:pos="198"/>
      </w:tabs>
      <w:spacing w:before="240" w:after="60"/>
      <w:jc w:val="center"/>
      <w:outlineLvl w:val="0"/>
    </w:pPr>
    <w:rPr>
      <w:rFonts w:ascii="Arial" w:hAnsi="Arial"/>
      <w:kern w:val="28"/>
      <w:szCs w:val="20"/>
    </w:rPr>
  </w:style>
  <w:style w:type="paragraph" w:styleId="Heading2">
    <w:name w:val="heading 2"/>
    <w:basedOn w:val="Normal"/>
    <w:next w:val="Normal"/>
    <w:qFormat/>
    <w:pPr>
      <w:keepNext/>
      <w:numPr>
        <w:ilvl w:val="1"/>
        <w:numId w:val="1"/>
      </w:numPr>
      <w:tabs>
        <w:tab w:val="left" w:pos="198"/>
      </w:tabs>
      <w:spacing w:before="120" w:after="60"/>
      <w:jc w:val="both"/>
      <w:outlineLvl w:val="1"/>
    </w:pPr>
    <w:rPr>
      <w:rFonts w:ascii="Arial" w:hAnsi="Arial"/>
      <w:i/>
      <w:sz w:val="22"/>
      <w:szCs w:val="20"/>
    </w:rPr>
  </w:style>
  <w:style w:type="paragraph" w:styleId="Heading3">
    <w:name w:val="heading 3"/>
    <w:basedOn w:val="Normal"/>
    <w:next w:val="Normal"/>
    <w:qFormat/>
    <w:pPr>
      <w:keepNext/>
      <w:numPr>
        <w:ilvl w:val="2"/>
        <w:numId w:val="1"/>
      </w:numPr>
      <w:tabs>
        <w:tab w:val="left" w:pos="198"/>
      </w:tabs>
      <w:spacing w:before="120" w:after="60"/>
      <w:ind w:firstLine="170"/>
      <w:jc w:val="center"/>
      <w:outlineLvl w:val="2"/>
    </w:pPr>
    <w:rPr>
      <w:rFonts w:ascii="Arial" w:hAnsi="Arial"/>
      <w:sz w:val="20"/>
      <w:szCs w:val="20"/>
    </w:rPr>
  </w:style>
  <w:style w:type="paragraph" w:styleId="Heading4">
    <w:name w:val="heading 4"/>
    <w:basedOn w:val="Normal"/>
    <w:next w:val="Normal"/>
    <w:qFormat/>
    <w:pPr>
      <w:keepNext/>
      <w:numPr>
        <w:ilvl w:val="3"/>
        <w:numId w:val="1"/>
      </w:numPr>
      <w:tabs>
        <w:tab w:val="left" w:pos="198"/>
      </w:tabs>
      <w:spacing w:before="240" w:after="60"/>
      <w:jc w:val="both"/>
      <w:outlineLvl w:val="3"/>
    </w:pPr>
    <w:rPr>
      <w:rFonts w:ascii="Arial" w:hAnsi="Arial"/>
      <w:b/>
      <w:szCs w:val="20"/>
      <w:lang w:val="en-GB"/>
    </w:rPr>
  </w:style>
  <w:style w:type="paragraph" w:styleId="Heading5">
    <w:name w:val="heading 5"/>
    <w:basedOn w:val="Normal"/>
    <w:next w:val="Normal"/>
    <w:qFormat/>
    <w:pPr>
      <w:numPr>
        <w:ilvl w:val="4"/>
        <w:numId w:val="1"/>
      </w:numPr>
      <w:tabs>
        <w:tab w:val="left" w:pos="198"/>
      </w:tabs>
      <w:spacing w:before="240" w:after="60"/>
      <w:jc w:val="both"/>
      <w:outlineLvl w:val="4"/>
    </w:pPr>
    <w:rPr>
      <w:rFonts w:ascii="Arial" w:hAnsi="Arial"/>
      <w:sz w:val="22"/>
      <w:szCs w:val="20"/>
      <w:lang w:val="en-GB"/>
    </w:rPr>
  </w:style>
  <w:style w:type="paragraph" w:styleId="Heading6">
    <w:name w:val="heading 6"/>
    <w:basedOn w:val="Normal"/>
    <w:next w:val="Normal"/>
    <w:qFormat/>
    <w:pPr>
      <w:numPr>
        <w:ilvl w:val="5"/>
        <w:numId w:val="1"/>
      </w:numPr>
      <w:tabs>
        <w:tab w:val="left" w:pos="198"/>
      </w:tabs>
      <w:spacing w:before="240" w:after="60"/>
      <w:jc w:val="both"/>
      <w:outlineLvl w:val="5"/>
    </w:pPr>
    <w:rPr>
      <w:i/>
      <w:sz w:val="22"/>
      <w:szCs w:val="20"/>
      <w:lang w:val="en-GB"/>
    </w:rPr>
  </w:style>
  <w:style w:type="paragraph" w:styleId="Heading7">
    <w:name w:val="heading 7"/>
    <w:basedOn w:val="Normal"/>
    <w:next w:val="Normal"/>
    <w:qFormat/>
    <w:pPr>
      <w:numPr>
        <w:ilvl w:val="6"/>
        <w:numId w:val="1"/>
      </w:numPr>
      <w:tabs>
        <w:tab w:val="left" w:pos="198"/>
      </w:tabs>
      <w:spacing w:before="240" w:after="60"/>
      <w:jc w:val="both"/>
      <w:outlineLvl w:val="6"/>
    </w:pPr>
    <w:rPr>
      <w:rFonts w:ascii="Arial" w:hAnsi="Arial"/>
      <w:sz w:val="20"/>
      <w:szCs w:val="20"/>
      <w:lang w:val="en-GB"/>
    </w:rPr>
  </w:style>
  <w:style w:type="paragraph" w:styleId="Heading8">
    <w:name w:val="heading 8"/>
    <w:basedOn w:val="Normal"/>
    <w:next w:val="Normal"/>
    <w:qFormat/>
    <w:pPr>
      <w:numPr>
        <w:ilvl w:val="7"/>
        <w:numId w:val="1"/>
      </w:numPr>
      <w:tabs>
        <w:tab w:val="left" w:pos="198"/>
      </w:tabs>
      <w:spacing w:before="240" w:after="60"/>
      <w:jc w:val="both"/>
      <w:outlineLvl w:val="7"/>
    </w:pPr>
    <w:rPr>
      <w:rFonts w:ascii="Arial" w:hAnsi="Arial"/>
      <w:i/>
      <w:sz w:val="20"/>
      <w:szCs w:val="20"/>
      <w:lang w:val="en-GB"/>
    </w:rPr>
  </w:style>
  <w:style w:type="paragraph" w:styleId="Heading9">
    <w:name w:val="heading 9"/>
    <w:basedOn w:val="Normal"/>
    <w:next w:val="Normal"/>
    <w:qFormat/>
    <w:pPr>
      <w:numPr>
        <w:ilvl w:val="8"/>
        <w:numId w:val="1"/>
      </w:numPr>
      <w:tabs>
        <w:tab w:val="left" w:pos="198"/>
      </w:tabs>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Indent">
    <w:name w:val="Body Text Indent"/>
    <w:basedOn w:val="Normal"/>
    <w:qFormat/>
    <w:pPr>
      <w:tabs>
        <w:tab w:val="left" w:pos="198"/>
      </w:tabs>
      <w:autoSpaceDE w:val="0"/>
      <w:autoSpaceDN w:val="0"/>
      <w:jc w:val="both"/>
    </w:pPr>
    <w:rPr>
      <w:sz w:val="20"/>
      <w:szCs w:val="20"/>
      <w:lang w:val="en-US" w:eastAsia="ru-RU"/>
    </w:rPr>
  </w:style>
  <w:style w:type="paragraph" w:styleId="BodyTextIndent2">
    <w:name w:val="Body Text Indent 2"/>
    <w:basedOn w:val="Normal"/>
    <w:qFormat/>
    <w:pPr>
      <w:tabs>
        <w:tab w:val="left" w:pos="198"/>
      </w:tabs>
      <w:spacing w:after="120" w:line="480" w:lineRule="auto"/>
      <w:ind w:left="283" w:firstLine="170"/>
      <w:jc w:val="both"/>
    </w:pPr>
    <w:rPr>
      <w:sz w:val="20"/>
      <w:szCs w:val="20"/>
      <w:lang w:val="en-GB"/>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overflowPunct w:val="0"/>
      <w:autoSpaceDE w:val="0"/>
      <w:autoSpaceDN w:val="0"/>
      <w:adjustRightInd w:val="0"/>
      <w:textAlignment w:val="baseline"/>
    </w:pPr>
    <w:rPr>
      <w:sz w:val="20"/>
      <w:szCs w:val="20"/>
      <w:lang w:val="ru-RU" w:eastAsia="uk-UA"/>
    </w:rPr>
  </w:style>
  <w:style w:type="paragraph" w:styleId="FootnoteText">
    <w:name w:val="footnote text"/>
    <w:basedOn w:val="Normal"/>
    <w:semiHidden/>
    <w:qFormat/>
    <w:pPr>
      <w:tabs>
        <w:tab w:val="left" w:pos="198"/>
      </w:tabs>
      <w:ind w:firstLine="198"/>
      <w:jc w:val="both"/>
    </w:pPr>
    <w:rPr>
      <w:sz w:val="16"/>
      <w:szCs w:val="20"/>
    </w:rPr>
  </w:style>
  <w:style w:type="paragraph" w:styleId="Header">
    <w:name w:val="header"/>
    <w:basedOn w:val="Normal"/>
    <w:qFormat/>
    <w:pPr>
      <w:tabs>
        <w:tab w:val="center" w:pos="4986"/>
        <w:tab w:val="right" w:pos="9973"/>
      </w:tabs>
    </w:p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lang w:val="en-US"/>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pPr>
      <w:tabs>
        <w:tab w:val="left" w:pos="198"/>
      </w:tabs>
      <w:ind w:firstLine="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pPr>
      <w:tabs>
        <w:tab w:val="left" w:pos="198"/>
      </w:tabs>
      <w:spacing w:after="120"/>
      <w:jc w:val="center"/>
    </w:pPr>
    <w:rPr>
      <w:szCs w:val="20"/>
    </w:rPr>
  </w:style>
  <w:style w:type="paragraph" w:customStyle="1" w:styleId="MainTitle">
    <w:name w:val="Main Title"/>
    <w:basedOn w:val="Normal"/>
    <w:qFormat/>
    <w:pPr>
      <w:tabs>
        <w:tab w:val="left" w:pos="198"/>
      </w:tabs>
      <w:spacing w:after="120"/>
      <w:jc w:val="center"/>
    </w:pPr>
    <w:rPr>
      <w:b/>
      <w:sz w:val="32"/>
      <w:szCs w:val="20"/>
    </w:rPr>
  </w:style>
  <w:style w:type="paragraph" w:customStyle="1" w:styleId="Affilation">
    <w:name w:val="Affilation"/>
    <w:basedOn w:val="Author"/>
    <w:qFormat/>
    <w:rPr>
      <w:sz w:val="18"/>
    </w:rPr>
  </w:style>
  <w:style w:type="paragraph" w:customStyle="1" w:styleId="Abstract">
    <w:name w:val="Abstract"/>
    <w:basedOn w:val="Normal"/>
    <w:qFormat/>
    <w:pPr>
      <w:tabs>
        <w:tab w:val="left" w:pos="-1276"/>
        <w:tab w:val="left" w:pos="198"/>
      </w:tabs>
      <w:ind w:firstLine="142"/>
      <w:jc w:val="both"/>
    </w:pPr>
    <w:rPr>
      <w:b/>
      <w:i/>
      <w:sz w:val="18"/>
      <w:szCs w:val="20"/>
    </w:rPr>
  </w:style>
  <w:style w:type="paragraph" w:customStyle="1" w:styleId="IndexTerms">
    <w:name w:val="Index Terms"/>
    <w:basedOn w:val="Normal"/>
    <w:link w:val="IndexTerms0"/>
    <w:qFormat/>
    <w:pPr>
      <w:tabs>
        <w:tab w:val="left" w:pos="198"/>
      </w:tabs>
      <w:spacing w:after="120"/>
      <w:ind w:firstLine="142"/>
      <w:jc w:val="both"/>
    </w:pPr>
    <w:rPr>
      <w:sz w:val="18"/>
      <w:szCs w:val="20"/>
    </w:rPr>
  </w:style>
  <w:style w:type="paragraph" w:customStyle="1" w:styleId="Figure">
    <w:name w:val="Figure"/>
    <w:basedOn w:val="Normal"/>
    <w:qFormat/>
    <w:pPr>
      <w:keepNext/>
      <w:spacing w:before="120" w:line="264" w:lineRule="auto"/>
      <w:jc w:val="center"/>
    </w:pPr>
    <w:rPr>
      <w:b/>
      <w:szCs w:val="20"/>
    </w:rPr>
  </w:style>
  <w:style w:type="paragraph" w:customStyle="1" w:styleId="a">
    <w:name w:val="подпись к картинке"/>
    <w:basedOn w:val="Normal"/>
    <w:link w:val="a0"/>
    <w:qFormat/>
    <w:pPr>
      <w:jc w:val="center"/>
    </w:pPr>
    <w:rPr>
      <w:sz w:val="18"/>
      <w:szCs w:val="18"/>
      <w:lang w:val="ru-RU" w:eastAsia="uk-UA"/>
    </w:rPr>
  </w:style>
  <w:style w:type="character" w:customStyle="1" w:styleId="a0">
    <w:name w:val="подпись к картинке Знак"/>
    <w:link w:val="a"/>
    <w:qFormat/>
    <w:rPr>
      <w:sz w:val="18"/>
      <w:szCs w:val="18"/>
      <w:lang w:val="ru-RU" w:eastAsia="uk-UA" w:bidi="ar-SA"/>
    </w:rPr>
  </w:style>
  <w:style w:type="paragraph" w:customStyle="1" w:styleId="list10pt">
    <w:name w:val="Стиль list + 10 pt"/>
    <w:basedOn w:val="Normal"/>
    <w:qFormat/>
    <w:pPr>
      <w:numPr>
        <w:numId w:val="2"/>
      </w:numPr>
      <w:jc w:val="both"/>
    </w:pPr>
    <w:rPr>
      <w:sz w:val="20"/>
      <w:szCs w:val="28"/>
      <w:lang w:val="ru-RU" w:eastAsia="uk-UA"/>
    </w:rPr>
  </w:style>
  <w:style w:type="paragraph" w:customStyle="1" w:styleId="list10pt1">
    <w:name w:val="Стиль list + 10 pt1"/>
    <w:basedOn w:val="Normal"/>
    <w:link w:val="list10pt10"/>
    <w:qFormat/>
    <w:pPr>
      <w:numPr>
        <w:numId w:val="3"/>
      </w:numPr>
      <w:jc w:val="both"/>
    </w:pPr>
    <w:rPr>
      <w:sz w:val="20"/>
      <w:szCs w:val="28"/>
      <w:lang w:val="ru-RU" w:eastAsia="uk-UA"/>
    </w:rPr>
  </w:style>
  <w:style w:type="character" w:customStyle="1" w:styleId="list10pt10">
    <w:name w:val="Стиль list + 10 pt1 Знак"/>
    <w:link w:val="list10pt1"/>
    <w:qFormat/>
    <w:rPr>
      <w:szCs w:val="28"/>
      <w:lang w:val="ru-RU" w:eastAsia="uk-UA" w:bidi="ar-SA"/>
    </w:rPr>
  </w:style>
  <w:style w:type="paragraph" w:customStyle="1" w:styleId="article">
    <w:name w:val="article"/>
    <w:basedOn w:val="Normal"/>
    <w:qFormat/>
    <w:pPr>
      <w:spacing w:line="288" w:lineRule="auto"/>
      <w:ind w:firstLine="720"/>
      <w:jc w:val="both"/>
    </w:pPr>
    <w:rPr>
      <w:sz w:val="20"/>
      <w:szCs w:val="20"/>
      <w:lang w:val="ru-RU"/>
    </w:rPr>
  </w:style>
  <w:style w:type="paragraph" w:customStyle="1" w:styleId="CSIT-List">
    <w:name w:val="CSIT-List"/>
    <w:basedOn w:val="Normal"/>
    <w:qFormat/>
    <w:pPr>
      <w:numPr>
        <w:numId w:val="4"/>
      </w:numPr>
      <w:tabs>
        <w:tab w:val="clear" w:pos="720"/>
      </w:tabs>
      <w:spacing w:after="120"/>
      <w:ind w:left="357" w:hanging="357"/>
      <w:jc w:val="both"/>
    </w:pPr>
    <w:rPr>
      <w:sz w:val="20"/>
      <w:szCs w:val="20"/>
      <w:lang w:val="en-GB" w:eastAsia="ru-RU"/>
    </w:rPr>
  </w:style>
  <w:style w:type="paragraph" w:customStyle="1" w:styleId="CSIT-Ref">
    <w:name w:val="CSIT-Ref"/>
    <w:basedOn w:val="CSIT-List"/>
    <w:qFormat/>
    <w:pPr>
      <w:tabs>
        <w:tab w:val="left" w:pos="720"/>
      </w:tabs>
      <w:ind w:left="720" w:hanging="360"/>
    </w:pPr>
  </w:style>
  <w:style w:type="paragraph" w:customStyle="1" w:styleId="Equation">
    <w:name w:val="Equation"/>
    <w:basedOn w:val="Normal"/>
    <w:qFormat/>
    <w:pPr>
      <w:tabs>
        <w:tab w:val="left" w:pos="198"/>
        <w:tab w:val="center" w:pos="2410"/>
        <w:tab w:val="right" w:pos="4962"/>
      </w:tabs>
      <w:ind w:firstLine="170"/>
      <w:jc w:val="both"/>
    </w:pPr>
    <w:rPr>
      <w:sz w:val="20"/>
      <w:szCs w:val="20"/>
    </w:rPr>
  </w:style>
  <w:style w:type="paragraph" w:customStyle="1" w:styleId="ETytle">
    <w:name w:val="E. Tytle"/>
    <w:basedOn w:val="Normal"/>
    <w:qFormat/>
    <w:pPr>
      <w:tabs>
        <w:tab w:val="left" w:pos="198"/>
      </w:tabs>
      <w:spacing w:after="120"/>
      <w:ind w:firstLine="170"/>
      <w:jc w:val="center"/>
    </w:pPr>
    <w:rPr>
      <w:b/>
      <w:smallCaps/>
      <w:szCs w:val="20"/>
      <w:lang w:val="en-US"/>
    </w:rPr>
  </w:style>
  <w:style w:type="paragraph" w:customStyle="1" w:styleId="Text">
    <w:name w:val="Text"/>
    <w:basedOn w:val="Normal"/>
    <w:pPr>
      <w:widowControl w:val="0"/>
      <w:overflowPunct w:val="0"/>
      <w:autoSpaceDE w:val="0"/>
      <w:autoSpaceDN w:val="0"/>
      <w:adjustRightInd w:val="0"/>
      <w:spacing w:line="360" w:lineRule="auto"/>
      <w:ind w:firstLine="709"/>
      <w:jc w:val="both"/>
      <w:textAlignment w:val="baseline"/>
    </w:pPr>
    <w:rPr>
      <w:rFonts w:ascii="UkrainianJournal" w:hAnsi="UkrainianJournal"/>
      <w:sz w:val="28"/>
      <w:szCs w:val="20"/>
      <w:lang w:val="ru-RU" w:eastAsia="uk-UA"/>
    </w:rPr>
  </w:style>
  <w:style w:type="paragraph" w:customStyle="1" w:styleId="11">
    <w:name w:val="11"/>
    <w:basedOn w:val="Normal"/>
    <w:qFormat/>
    <w:pPr>
      <w:tabs>
        <w:tab w:val="left" w:pos="198"/>
      </w:tabs>
      <w:ind w:left="284" w:hanging="284"/>
      <w:jc w:val="both"/>
    </w:pPr>
    <w:rPr>
      <w:sz w:val="20"/>
      <w:szCs w:val="20"/>
      <w:lang w:val="en-GB"/>
    </w:rPr>
  </w:style>
  <w:style w:type="paragraph" w:customStyle="1" w:styleId="1">
    <w:name w:val="Стиль1"/>
    <w:basedOn w:val="Normal"/>
    <w:qFormat/>
    <w:pPr>
      <w:tabs>
        <w:tab w:val="left" w:pos="198"/>
      </w:tabs>
      <w:spacing w:before="60" w:after="60"/>
      <w:ind w:firstLine="170"/>
      <w:jc w:val="center"/>
    </w:pPr>
    <w:rPr>
      <w:smallCaps/>
      <w:sz w:val="18"/>
      <w:szCs w:val="20"/>
    </w:rPr>
  </w:style>
  <w:style w:type="paragraph" w:customStyle="1" w:styleId="Bibliography1">
    <w:name w:val="Bibliography1"/>
    <w:basedOn w:val="Normal"/>
    <w:qFormat/>
    <w:pPr>
      <w:tabs>
        <w:tab w:val="left" w:pos="340"/>
      </w:tabs>
      <w:ind w:left="340" w:hanging="227"/>
      <w:jc w:val="both"/>
    </w:pPr>
    <w:rPr>
      <w:sz w:val="16"/>
      <w:szCs w:val="20"/>
      <w:lang w:eastAsia="ru-RU"/>
    </w:rPr>
  </w:style>
  <w:style w:type="character" w:customStyle="1" w:styleId="IndexTerms0">
    <w:name w:val="Index Terms Знак"/>
    <w:link w:val="IndexTerms"/>
    <w:qFormat/>
    <w:rPr>
      <w:sz w:val="18"/>
      <w:lang w:val="uk-UA" w:eastAsia="en-US" w:bidi="ar-SA"/>
    </w:r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customStyle="1" w:styleId="Literature">
    <w:name w:val="Literature"/>
    <w:basedOn w:val="Normal"/>
    <w:qFormat/>
    <w:pPr>
      <w:numPr>
        <w:numId w:val="5"/>
      </w:numPr>
      <w:spacing w:line="360" w:lineRule="auto"/>
      <w:jc w:val="both"/>
    </w:pPr>
    <w:rPr>
      <w:sz w:val="28"/>
      <w:szCs w:val="20"/>
      <w:lang w:eastAsia="uk-UA"/>
    </w:rPr>
  </w:style>
  <w:style w:type="character" w:customStyle="1" w:styleId="UnresolvedMention1">
    <w:name w:val="Unresolved Mention1"/>
    <w:uiPriority w:val="99"/>
    <w:semiHidden/>
    <w:unhideWhenUsed/>
    <w:rPr>
      <w:color w:val="605E5C"/>
      <w:shd w:val="clear" w:color="auto" w:fill="E1DFDD"/>
    </w:rPr>
  </w:style>
  <w:style w:type="character" w:customStyle="1" w:styleId="FooterChar">
    <w:name w:val="Footer Char"/>
    <w:link w:val="Footer"/>
    <w:uiPriority w:val="99"/>
    <w:rPr>
      <w:lang w:eastAsia="uk-UA"/>
    </w:rPr>
  </w:style>
  <w:style w:type="character" w:styleId="UnresolvedMention">
    <w:name w:val="Unresolved Mention"/>
    <w:basedOn w:val="DefaultParagraphFont"/>
    <w:uiPriority w:val="99"/>
    <w:semiHidden/>
    <w:unhideWhenUsed/>
    <w:rsid w:val="00A543E8"/>
    <w:rPr>
      <w:color w:val="605E5C"/>
      <w:shd w:val="clear" w:color="auto" w:fill="E1DFDD"/>
    </w:rPr>
  </w:style>
  <w:style w:type="paragraph" w:customStyle="1" w:styleId="RSCB02ArticleText">
    <w:name w:val="RSC B02 Article Text"/>
    <w:basedOn w:val="Normal"/>
    <w:link w:val="RSCB02ArticleTextChar"/>
    <w:qFormat/>
    <w:rsid w:val="00A543E8"/>
    <w:pPr>
      <w:spacing w:line="240" w:lineRule="exact"/>
      <w:jc w:val="both"/>
    </w:pPr>
    <w:rPr>
      <w:rFonts w:asciiTheme="minorHAnsi" w:eastAsiaTheme="minorHAnsi" w:hAnsiTheme="minorHAnsi"/>
      <w:w w:val="108"/>
      <w:sz w:val="18"/>
      <w:szCs w:val="18"/>
      <w:lang w:val="en-GB"/>
    </w:rPr>
  </w:style>
  <w:style w:type="character" w:customStyle="1" w:styleId="RSCB02ArticleTextChar">
    <w:name w:val="RSC B02 Article Text Char"/>
    <w:basedOn w:val="DefaultParagraphFont"/>
    <w:link w:val="RSCB02ArticleText"/>
    <w:rsid w:val="00A543E8"/>
    <w:rPr>
      <w:rFonts w:asciiTheme="minorHAnsi" w:eastAsiaTheme="minorHAnsi" w:hAnsiTheme="minorHAnsi"/>
      <w:w w:val="108"/>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F3E4-6391-4778-8D6F-5C08399E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1463</Words>
  <Characters>7916</Characters>
  <Application>Microsoft Office Word</Application>
  <DocSecurity>0</DocSecurity>
  <Lines>219</Lines>
  <Paragraphs>142</Paragraphs>
  <ScaleCrop>false</ScaleCrop>
  <Company>ss</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Oleksandr Ivashchuk</dc:creator>
  <cp:lastModifiedBy>x</cp:lastModifiedBy>
  <cp:revision>27</cp:revision>
  <cp:lastPrinted>2010-05-30T09:50:00Z</cp:lastPrinted>
  <dcterms:created xsi:type="dcterms:W3CDTF">2020-03-01T06:10:00Z</dcterms:created>
  <dcterms:modified xsi:type="dcterms:W3CDTF">2025-05-08T04:43:00Z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7BFB9DD846FA43D1A14C0EFC98008BA1_13</vt:lpwstr>
  </property>
</Properties>
</file>