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CC5DEB" w14:textId="544DB2C8" w:rsidR="00FD2540" w:rsidRPr="008A6A55" w:rsidRDefault="00313D1E">
      <w:pPr>
        <w:pStyle w:val="MainTitle"/>
        <w:spacing w:line="276" w:lineRule="auto"/>
        <w:rPr>
          <w:sz w:val="28"/>
          <w:szCs w:val="28"/>
          <w:lang w:val="en-GB"/>
        </w:rPr>
      </w:pPr>
      <w:r w:rsidRPr="008A6A55">
        <w:rPr>
          <w:sz w:val="28"/>
          <w:szCs w:val="28"/>
          <w:lang w:val="en-GB"/>
        </w:rPr>
        <w:t>Enhancing Mechanical Properties of Biopolymer-Based Composites: The Influence of Organic and Inorganic Additives</w:t>
      </w:r>
    </w:p>
    <w:p w14:paraId="2B3BDFC2" w14:textId="560DE61C" w:rsidR="00FD2540" w:rsidRPr="008A6A55" w:rsidRDefault="00313D1E">
      <w:pPr>
        <w:pStyle w:val="Author"/>
        <w:spacing w:line="276" w:lineRule="auto"/>
        <w:rPr>
          <w:sz w:val="26"/>
          <w:szCs w:val="26"/>
          <w:u w:val="single"/>
          <w:lang w:val="en-GB"/>
        </w:rPr>
      </w:pPr>
      <w:r w:rsidRPr="008A6A55">
        <w:rPr>
          <w:sz w:val="26"/>
          <w:szCs w:val="26"/>
          <w:u w:val="single"/>
          <w:lang w:val="en-GB"/>
        </w:rPr>
        <w:t>Szymon Szczepanik</w:t>
      </w:r>
      <w:r w:rsidRPr="008A6A55">
        <w:rPr>
          <w:sz w:val="26"/>
          <w:szCs w:val="26"/>
          <w:u w:val="single"/>
          <w:vertAlign w:val="superscript"/>
          <w:lang w:val="en-GB"/>
        </w:rPr>
        <w:t>1</w:t>
      </w:r>
      <w:r w:rsidR="0013477B" w:rsidRPr="008A6A55">
        <w:rPr>
          <w:sz w:val="26"/>
          <w:szCs w:val="26"/>
          <w:lang w:val="en-GB"/>
        </w:rPr>
        <w:t xml:space="preserve">, </w:t>
      </w:r>
      <w:r w:rsidR="0013477B" w:rsidRPr="008A6A55">
        <w:rPr>
          <w:sz w:val="26"/>
          <w:szCs w:val="26"/>
          <w:u w:val="single"/>
          <w:lang w:val="en-GB"/>
        </w:rPr>
        <w:t>Mirosława Prochoń</w:t>
      </w:r>
      <w:r w:rsidR="0013477B" w:rsidRPr="008A6A55">
        <w:rPr>
          <w:sz w:val="26"/>
          <w:szCs w:val="26"/>
          <w:u w:val="single"/>
          <w:vertAlign w:val="superscript"/>
          <w:lang w:val="en-GB"/>
        </w:rPr>
        <w:t>2</w:t>
      </w:r>
    </w:p>
    <w:p w14:paraId="34915B2F" w14:textId="3AF11BEF" w:rsidR="00FD2540" w:rsidRPr="008A6A55" w:rsidRDefault="00313D1E" w:rsidP="0013477B">
      <w:pPr>
        <w:pStyle w:val="Affilation"/>
        <w:numPr>
          <w:ilvl w:val="0"/>
          <w:numId w:val="8"/>
        </w:numPr>
        <w:spacing w:line="276" w:lineRule="auto"/>
        <w:rPr>
          <w:sz w:val="20"/>
          <w:lang w:val="en-GB"/>
        </w:rPr>
      </w:pPr>
      <w:r w:rsidRPr="008A6A55">
        <w:rPr>
          <w:sz w:val="20"/>
          <w:lang w:val="en-GB"/>
        </w:rPr>
        <w:t>Institute of Polymer and Dye Technology</w:t>
      </w:r>
      <w:r w:rsidR="00315272" w:rsidRPr="008A6A55">
        <w:rPr>
          <w:sz w:val="20"/>
          <w:lang w:val="en-GB"/>
        </w:rPr>
        <w:t xml:space="preserve">, </w:t>
      </w:r>
      <w:r w:rsidRPr="008A6A55">
        <w:rPr>
          <w:sz w:val="20"/>
          <w:lang w:val="en-GB"/>
        </w:rPr>
        <w:t>Lodz University of Technology</w:t>
      </w:r>
      <w:r w:rsidR="00315272" w:rsidRPr="008A6A55">
        <w:rPr>
          <w:sz w:val="20"/>
          <w:lang w:val="en-GB"/>
        </w:rPr>
        <w:t xml:space="preserve">, </w:t>
      </w:r>
      <w:r w:rsidRPr="008A6A55">
        <w:rPr>
          <w:sz w:val="20"/>
          <w:lang w:val="en-GB"/>
        </w:rPr>
        <w:t>POLAND</w:t>
      </w:r>
      <w:r w:rsidR="00315272" w:rsidRPr="008A6A55">
        <w:rPr>
          <w:sz w:val="20"/>
          <w:lang w:val="en-GB"/>
        </w:rPr>
        <w:t xml:space="preserve">, </w:t>
      </w:r>
      <w:r w:rsidRPr="008A6A55">
        <w:rPr>
          <w:sz w:val="20"/>
          <w:lang w:val="en-GB"/>
        </w:rPr>
        <w:t>Lodz</w:t>
      </w:r>
      <w:r w:rsidR="00315272" w:rsidRPr="008A6A55">
        <w:rPr>
          <w:sz w:val="20"/>
          <w:lang w:val="en-GB"/>
        </w:rPr>
        <w:t xml:space="preserve">, </w:t>
      </w:r>
      <w:proofErr w:type="spellStart"/>
      <w:r w:rsidRPr="008A6A55">
        <w:rPr>
          <w:sz w:val="20"/>
          <w:lang w:val="en-GB"/>
        </w:rPr>
        <w:t>Stefanowskiego</w:t>
      </w:r>
      <w:proofErr w:type="spellEnd"/>
      <w:r w:rsidRPr="008A6A55">
        <w:rPr>
          <w:sz w:val="20"/>
          <w:lang w:val="en-GB"/>
        </w:rPr>
        <w:t xml:space="preserve"> 16</w:t>
      </w:r>
      <w:r w:rsidR="00315272" w:rsidRPr="008A6A55">
        <w:rPr>
          <w:sz w:val="20"/>
          <w:lang w:val="en-GB"/>
        </w:rPr>
        <w:t xml:space="preserve">, E-mail: </w:t>
      </w:r>
      <w:r w:rsidR="0013477B" w:rsidRPr="008A6A55">
        <w:rPr>
          <w:sz w:val="20"/>
          <w:lang w:val="en-GB"/>
        </w:rPr>
        <w:t>szymon.szczepanik@dokt.p.lodz.pl</w:t>
      </w:r>
    </w:p>
    <w:p w14:paraId="54C73508" w14:textId="304B0D3D" w:rsidR="0013477B" w:rsidRPr="008A6A55" w:rsidRDefault="0013477B" w:rsidP="0013477B">
      <w:pPr>
        <w:pStyle w:val="Affilation"/>
        <w:numPr>
          <w:ilvl w:val="0"/>
          <w:numId w:val="8"/>
        </w:numPr>
        <w:spacing w:line="276" w:lineRule="auto"/>
        <w:rPr>
          <w:sz w:val="20"/>
          <w:lang w:val="en-GB"/>
        </w:rPr>
      </w:pPr>
      <w:r w:rsidRPr="008A6A55">
        <w:rPr>
          <w:sz w:val="20"/>
          <w:lang w:val="en-GB"/>
        </w:rPr>
        <w:t xml:space="preserve">Institute of Polymer and Dye Technology, Lodz University of Technology, POLAND, Lodz, </w:t>
      </w:r>
      <w:proofErr w:type="spellStart"/>
      <w:r w:rsidRPr="008A6A55">
        <w:rPr>
          <w:sz w:val="20"/>
          <w:lang w:val="en-GB"/>
        </w:rPr>
        <w:t>Stefanowskiego</w:t>
      </w:r>
      <w:proofErr w:type="spellEnd"/>
      <w:r w:rsidRPr="008A6A55">
        <w:rPr>
          <w:sz w:val="20"/>
          <w:lang w:val="en-GB"/>
        </w:rPr>
        <w:t xml:space="preserve"> 16, E-mail: miroslawa.prochon@p.lodz.pl</w:t>
      </w:r>
    </w:p>
    <w:p w14:paraId="4763DDA9" w14:textId="2B15CBCF" w:rsidR="00FD2540" w:rsidRPr="008A6A55" w:rsidRDefault="00315272">
      <w:pPr>
        <w:pStyle w:val="Abstract"/>
        <w:spacing w:after="120" w:line="276" w:lineRule="auto"/>
        <w:ind w:firstLine="0"/>
        <w:rPr>
          <w:sz w:val="22"/>
          <w:szCs w:val="22"/>
          <w:lang w:val="en-GB"/>
        </w:rPr>
      </w:pPr>
      <w:r w:rsidRPr="008A6A55">
        <w:rPr>
          <w:sz w:val="22"/>
          <w:szCs w:val="22"/>
          <w:lang w:val="en-GB"/>
        </w:rPr>
        <w:t xml:space="preserve">Abstract. </w:t>
      </w:r>
      <w:r w:rsidR="00313D1E" w:rsidRPr="008A6A55">
        <w:rPr>
          <w:sz w:val="22"/>
          <w:szCs w:val="22"/>
          <w:lang w:val="en-GB"/>
        </w:rPr>
        <w:t>This study investigates the mechanical properties of modified biopolymer-based composites reinforced with organic (collagen, keratin) and inorganic (silicates, cellulose derivatives) additives. Results demonstrate enhanced tensile strength and elongation at break, highlighting the potential of optimized additive concentrations for improving bioplastic durability. These findings contribute to the development of sustainable, high-performance biodegradable materials.</w:t>
      </w:r>
    </w:p>
    <w:p w14:paraId="5D3B7017" w14:textId="3E7B642B" w:rsidR="00FD2540" w:rsidRPr="008A6A55" w:rsidRDefault="00315272">
      <w:pPr>
        <w:pStyle w:val="IndexTerms"/>
        <w:spacing w:line="276" w:lineRule="auto"/>
        <w:ind w:firstLine="0"/>
        <w:rPr>
          <w:sz w:val="22"/>
          <w:szCs w:val="22"/>
          <w:lang w:val="en-GB"/>
        </w:rPr>
      </w:pPr>
      <w:proofErr w:type="spellStart"/>
      <w:r w:rsidRPr="008A6A55">
        <w:rPr>
          <w:sz w:val="22"/>
          <w:szCs w:val="22"/>
          <w:lang w:val="en-GB"/>
        </w:rPr>
        <w:t>Кеуwords</w:t>
      </w:r>
      <w:proofErr w:type="spellEnd"/>
      <w:r w:rsidRPr="008A6A55">
        <w:rPr>
          <w:sz w:val="22"/>
          <w:szCs w:val="22"/>
          <w:lang w:val="en-GB"/>
        </w:rPr>
        <w:t xml:space="preserve">: </w:t>
      </w:r>
      <w:r w:rsidR="00313D1E" w:rsidRPr="008A6A55">
        <w:rPr>
          <w:sz w:val="22"/>
          <w:szCs w:val="22"/>
          <w:lang w:val="en-GB"/>
        </w:rPr>
        <w:t xml:space="preserve">biopolymers, biodegradable materials, mechanical properties, </w:t>
      </w:r>
      <w:proofErr w:type="spellStart"/>
      <w:r w:rsidR="00313D1E" w:rsidRPr="008A6A55">
        <w:rPr>
          <w:sz w:val="22"/>
          <w:szCs w:val="22"/>
          <w:lang w:val="en-GB"/>
        </w:rPr>
        <w:t>biocomposites</w:t>
      </w:r>
      <w:proofErr w:type="spellEnd"/>
      <w:r w:rsidR="00313D1E" w:rsidRPr="008A6A55">
        <w:rPr>
          <w:sz w:val="22"/>
          <w:szCs w:val="22"/>
          <w:lang w:val="en-GB"/>
        </w:rPr>
        <w:t>, sustainable plastics, polymer additives, material reinforcement, eco-friendly materials.</w:t>
      </w:r>
    </w:p>
    <w:p w14:paraId="4C47F813" w14:textId="68F784F4" w:rsidR="00FD2540" w:rsidRPr="008A6A55" w:rsidRDefault="00315272">
      <w:pPr>
        <w:spacing w:after="120"/>
        <w:jc w:val="center"/>
        <w:rPr>
          <w:b/>
          <w:lang w:val="en-GB"/>
        </w:rPr>
      </w:pPr>
      <w:r w:rsidRPr="008A6A55">
        <w:rPr>
          <w:b/>
          <w:lang w:val="en-GB"/>
        </w:rPr>
        <w:t>Introduction</w:t>
      </w:r>
    </w:p>
    <w:p w14:paraId="78E97F48" w14:textId="77777777" w:rsidR="0013477B" w:rsidRPr="008A6A55" w:rsidRDefault="0013477B" w:rsidP="0013477B">
      <w:pPr>
        <w:tabs>
          <w:tab w:val="left" w:pos="198"/>
        </w:tabs>
        <w:spacing w:line="276" w:lineRule="auto"/>
        <w:ind w:firstLine="567"/>
        <w:jc w:val="both"/>
        <w:rPr>
          <w:lang w:val="en-GB"/>
        </w:rPr>
      </w:pPr>
      <w:r w:rsidRPr="008A6A55">
        <w:rPr>
          <w:lang w:val="en-GB"/>
        </w:rPr>
        <w:t>The widespread use of petrochemical-based plastics has significantly contributed to environmental degradation, leading to growing concerns regarding pollution, resource depletion, and long-term sustainability [1, 2]. Conventional plastics, such as polyethylene (PE), polypropylene (PP), polystyrene (PS), and polyethylene terephthalate (PET), are extensively utilized across various industries due to their excellent mechanical properties, chemical resistance, durability, and cost-effectiveness [3]. These materials have revolutionized modern manufacturing, enabling advancements in packaging, construction, automotive, medical devices, and consumer goods. However, despite their functional advantages, the persistence of synthetic polymers in the environment presents severe ecological and health challenges [4].</w:t>
      </w:r>
    </w:p>
    <w:p w14:paraId="30C4F84D" w14:textId="77777777" w:rsidR="0013477B" w:rsidRPr="008A6A55" w:rsidRDefault="0013477B" w:rsidP="0013477B">
      <w:pPr>
        <w:tabs>
          <w:tab w:val="left" w:pos="198"/>
        </w:tabs>
        <w:spacing w:line="276" w:lineRule="auto"/>
        <w:ind w:firstLine="567"/>
        <w:jc w:val="both"/>
        <w:rPr>
          <w:lang w:val="en-GB"/>
        </w:rPr>
      </w:pPr>
      <w:r w:rsidRPr="008A6A55">
        <w:rPr>
          <w:lang w:val="en-GB"/>
        </w:rPr>
        <w:t>Non-biodegradable plastic waste accumulates in landfills, oceans, and natural ecosystems at an alarming rate. Global plastic production exceeds 300 million metric tons annually, with a substantial fraction ending up as unmanaged waste [5]. Microplastic contamination in aquatic and terrestrial environments has been identified as a critical issue, posing risks to marine biodiversity, food chains, and human health. Furthermore, the extraction and processing of fossil fuels for plastic production contribute significantly to greenhouse gas emissions, exacerbating climate change [6]. The long-term consequences of plastic pollution have led to increasing regulatory pressures, public awareness, and scientific initiatives aimed at developing sustainable alternatives that maintain material performance while minimizing environmental impact [7].</w:t>
      </w:r>
    </w:p>
    <w:p w14:paraId="0F76614A" w14:textId="77777777" w:rsidR="0013477B" w:rsidRPr="008A6A55" w:rsidRDefault="0013477B" w:rsidP="0013477B">
      <w:pPr>
        <w:tabs>
          <w:tab w:val="left" w:pos="198"/>
        </w:tabs>
        <w:spacing w:line="276" w:lineRule="auto"/>
        <w:ind w:firstLine="567"/>
        <w:jc w:val="both"/>
        <w:rPr>
          <w:lang w:val="en-GB"/>
        </w:rPr>
      </w:pPr>
      <w:r w:rsidRPr="008A6A55">
        <w:rPr>
          <w:lang w:val="en-GB"/>
        </w:rPr>
        <w:t>Biopolymers have emerged as promising candidates for reducing plastic-related pollution due to their renewable origin and potential biodegradability [8]. These materials are derived from various natural sources, including polysaccharides, proteins, and polyesters, making them an environmentally friendly alternative to petroleum-based polymers [9]. Polysaccharides such as cellulose, starch, chitosan, and agar-agar are among the most abundant and widely studied biopolymers, offering excellent biodegradability and renewability [10]. Their hydrophilic nature and ability to form strong hydrogen bonds contribute to desirable properties such as film-forming capabilities and biocompatibility. However, their mechanical strength, moisture sensitivity, and barrier properties often require further enhancement through chemical modifications or blending with other materials [11].</w:t>
      </w:r>
    </w:p>
    <w:p w14:paraId="4B7F1A04" w14:textId="77777777" w:rsidR="0013477B" w:rsidRPr="008A6A55" w:rsidRDefault="0013477B" w:rsidP="0013477B">
      <w:pPr>
        <w:tabs>
          <w:tab w:val="left" w:pos="198"/>
        </w:tabs>
        <w:spacing w:line="276" w:lineRule="auto"/>
        <w:ind w:firstLine="567"/>
        <w:jc w:val="both"/>
        <w:rPr>
          <w:lang w:val="en-GB"/>
        </w:rPr>
      </w:pPr>
      <w:r w:rsidRPr="008A6A55">
        <w:rPr>
          <w:lang w:val="en-GB"/>
        </w:rPr>
        <w:lastRenderedPageBreak/>
        <w:t xml:space="preserve">Proteins, including collagen, keratin, casein, and </w:t>
      </w:r>
      <w:proofErr w:type="spellStart"/>
      <w:r w:rsidRPr="008A6A55">
        <w:rPr>
          <w:lang w:val="en-GB"/>
        </w:rPr>
        <w:t>gelatin</w:t>
      </w:r>
      <w:proofErr w:type="spellEnd"/>
      <w:r w:rsidRPr="008A6A55">
        <w:rPr>
          <w:lang w:val="en-GB"/>
        </w:rPr>
        <w:t xml:space="preserve">, are another class of biopolymers that have gained attention for their unique structural properties [12]. These macromolecules are naturally designed to provide mechanical support in biological systems, making them suitable candidates for biopolymer applications. Collagen, the primary structural protein in connective tissues, exhibits excellent tensile strength and flexibility, making it particularly useful for biomedical applications such as wound dressings, scaffolds for tissue engineering, and drug delivery systems [13]. Similarly, keratin, which is found in hair, feathers, and wool, is known for its high </w:t>
      </w:r>
      <w:proofErr w:type="spellStart"/>
      <w:r w:rsidRPr="008A6A55">
        <w:rPr>
          <w:lang w:val="en-GB"/>
        </w:rPr>
        <w:t>sulfur</w:t>
      </w:r>
      <w:proofErr w:type="spellEnd"/>
      <w:r w:rsidRPr="008A6A55">
        <w:rPr>
          <w:lang w:val="en-GB"/>
        </w:rPr>
        <w:t xml:space="preserve"> content and disulfide bond crosslinking, leading to increased strength and stability [14]. Casein, the primary protein in milk, has been explored for its ability to form films with moderate strength and elasticity, offering potential applications in biodegradable packaging. Despite their advantages, protein-based biopolymers often suffer from water sensitivity, limited thermal stability, and relatively low mechanical strength, necessitating reinforcement through additives or chemical modifications [15].</w:t>
      </w:r>
    </w:p>
    <w:p w14:paraId="6615E5E4" w14:textId="77777777" w:rsidR="0013477B" w:rsidRPr="008A6A55" w:rsidRDefault="0013477B" w:rsidP="0013477B">
      <w:pPr>
        <w:tabs>
          <w:tab w:val="left" w:pos="198"/>
        </w:tabs>
        <w:spacing w:line="276" w:lineRule="auto"/>
        <w:ind w:firstLine="567"/>
        <w:jc w:val="both"/>
        <w:rPr>
          <w:lang w:val="en-GB"/>
        </w:rPr>
      </w:pPr>
      <w:r w:rsidRPr="008A6A55">
        <w:rPr>
          <w:lang w:val="en-GB"/>
        </w:rPr>
        <w:t xml:space="preserve">In addition to polysaccharides and proteins, </w:t>
      </w:r>
      <w:proofErr w:type="spellStart"/>
      <w:r w:rsidRPr="008A6A55">
        <w:rPr>
          <w:lang w:val="en-GB"/>
        </w:rPr>
        <w:t>biopolyesters</w:t>
      </w:r>
      <w:proofErr w:type="spellEnd"/>
      <w:r w:rsidRPr="008A6A55">
        <w:rPr>
          <w:lang w:val="en-GB"/>
        </w:rPr>
        <w:t xml:space="preserve"> such as polylactic acid (PLA) and polyhydroxyalkanoates (PHA) have gained prominence due to their thermoplastic nature and processability [16]. PLA, derived from lactic acid fermentation of plant-based sugars, has mechanical properties comparable to polystyrene and polyethylene terephthalate (PET), making it a popular choice for biodegradable packaging, medical implants, and 3D printing [17]. However, its brittleness and low impact resistance require blending with plasticizers or other biopolymers to improve flexibility. PHA, a family of microbial polyesters produced by bacterial fermentation, offers superior biodegradability and biocompatibility, making it suitable for biomedical and agricultural applications [18]. The diversity of PHA copolymers allows for </w:t>
      </w:r>
      <w:proofErr w:type="spellStart"/>
      <w:r w:rsidRPr="008A6A55">
        <w:rPr>
          <w:lang w:val="en-GB"/>
        </w:rPr>
        <w:t>tunable</w:t>
      </w:r>
      <w:proofErr w:type="spellEnd"/>
      <w:r w:rsidRPr="008A6A55">
        <w:rPr>
          <w:lang w:val="en-GB"/>
        </w:rPr>
        <w:t xml:space="preserve"> mechanical and thermal properties, but high production costs remain a significant barrier to large-scale commercialization [19].</w:t>
      </w:r>
    </w:p>
    <w:p w14:paraId="71213EE1" w14:textId="77777777" w:rsidR="0013477B" w:rsidRPr="008A6A55" w:rsidRDefault="0013477B" w:rsidP="0013477B">
      <w:pPr>
        <w:tabs>
          <w:tab w:val="left" w:pos="198"/>
        </w:tabs>
        <w:spacing w:line="276" w:lineRule="auto"/>
        <w:ind w:firstLine="567"/>
        <w:jc w:val="both"/>
        <w:rPr>
          <w:lang w:val="en-GB"/>
        </w:rPr>
      </w:pPr>
      <w:r w:rsidRPr="008A6A55">
        <w:rPr>
          <w:lang w:val="en-GB"/>
        </w:rPr>
        <w:t>Despite their environmental benefits, biopolymers face significant challenges that hinder their widespread adoption in high-performance industries such as packaging, automotive, aerospace, and biomedical fields [20]. One of the primary limitations is their inferior mechanical properties compared to traditional synthetic polymers. Many biopolymers exhibit lower tensile strength, increased brittleness, and limited thermal stability, restricting their application in demanding environments [21]. These weaknesses are particularly problematic for applications requiring high durability, flexibility, or resistance to external factors such as moisture, UV radiation, and mechanical stress [22].</w:t>
      </w:r>
    </w:p>
    <w:p w14:paraId="237642E3" w14:textId="77777777" w:rsidR="0013477B" w:rsidRPr="008A6A55" w:rsidRDefault="0013477B" w:rsidP="0013477B">
      <w:pPr>
        <w:tabs>
          <w:tab w:val="left" w:pos="198"/>
        </w:tabs>
        <w:spacing w:line="276" w:lineRule="auto"/>
        <w:ind w:firstLine="567"/>
        <w:jc w:val="both"/>
        <w:rPr>
          <w:lang w:val="en-GB"/>
        </w:rPr>
      </w:pPr>
      <w:r w:rsidRPr="008A6A55">
        <w:rPr>
          <w:lang w:val="en-GB"/>
        </w:rPr>
        <w:t>To overcome these challenges, researchers have explored various strategies to enhance the mechanical performance of biopolymer-based materials. These strategies include blending biopolymers with synthetic or natural reinforcements, crosslinking polymer chains, plasticization, and composite formulation with inorganic additives [23]. The incorporation of organic additives such as collagen, keratin, and casein has been shown to improve elasticity and toughness, while inorganic reinforcements such as silicates, calcium phosphates, and cellulose nanocrystals enhance structural rigidity and impact resistance. Furthermore, functionalized nanoparticles and bioactive fillers can introduce additional properties such as antimicrobial activity, UV resistance, and improved barrier performance [24].</w:t>
      </w:r>
    </w:p>
    <w:p w14:paraId="51B7BA25" w14:textId="3D9FCB07" w:rsidR="00FD2540" w:rsidRPr="008A6A55" w:rsidRDefault="0013477B" w:rsidP="0013477B">
      <w:pPr>
        <w:tabs>
          <w:tab w:val="left" w:pos="198"/>
        </w:tabs>
        <w:spacing w:line="276" w:lineRule="auto"/>
        <w:ind w:firstLine="567"/>
        <w:jc w:val="both"/>
        <w:rPr>
          <w:lang w:val="en-GB"/>
        </w:rPr>
      </w:pPr>
      <w:r w:rsidRPr="008A6A55">
        <w:rPr>
          <w:lang w:val="en-GB"/>
        </w:rPr>
        <w:t>Given the increasing demand for sustainable materials, ongoing research efforts focus on optimizing the formulation and processing of biopolymer composites to achieve a balance between mechanical performance, biodegradability, and cost-effectiveness [25].</w:t>
      </w:r>
      <w:r w:rsidR="00ED4AAC" w:rsidRPr="008A6A55">
        <w:rPr>
          <w:lang w:val="en-GB"/>
        </w:rPr>
        <w:t xml:space="preserve"> The development of multi-component biopolymer composites that combine the advantages of different biopolymers and reinforcement materials holds great promise for advancing sustainable plastics and reducing </w:t>
      </w:r>
      <w:r w:rsidR="00ED4AAC" w:rsidRPr="008A6A55">
        <w:rPr>
          <w:lang w:val="en-GB"/>
        </w:rPr>
        <w:lastRenderedPageBreak/>
        <w:t>environmental impact.</w:t>
      </w:r>
      <w:r w:rsidR="00575C4B" w:rsidRPr="008A6A55">
        <w:rPr>
          <w:lang w:val="en-GB"/>
        </w:rPr>
        <w:t xml:space="preserve"> </w:t>
      </w:r>
      <w:r w:rsidR="00ED4AAC" w:rsidRPr="008A6A55">
        <w:rPr>
          <w:lang w:val="en-GB"/>
        </w:rPr>
        <w:t xml:space="preserve">This study aims to investigate the mechanical </w:t>
      </w:r>
      <w:proofErr w:type="spellStart"/>
      <w:r w:rsidR="00ED4AAC" w:rsidRPr="008A6A55">
        <w:rPr>
          <w:lang w:val="en-GB"/>
        </w:rPr>
        <w:t>behavior</w:t>
      </w:r>
      <w:proofErr w:type="spellEnd"/>
      <w:r w:rsidR="00ED4AAC" w:rsidRPr="008A6A55">
        <w:rPr>
          <w:lang w:val="en-GB"/>
        </w:rPr>
        <w:t xml:space="preserve"> of modified biopolymer-based composites reinforced with organic and inorganic additives. By </w:t>
      </w:r>
      <w:proofErr w:type="spellStart"/>
      <w:r w:rsidR="00ED4AAC" w:rsidRPr="008A6A55">
        <w:rPr>
          <w:lang w:val="en-GB"/>
        </w:rPr>
        <w:t>analyzing</w:t>
      </w:r>
      <w:proofErr w:type="spellEnd"/>
      <w:r w:rsidR="00ED4AAC" w:rsidRPr="008A6A55">
        <w:rPr>
          <w:lang w:val="en-GB"/>
        </w:rPr>
        <w:t xml:space="preserve"> tensile strength and elongation at break, this research seeks to identify the most effective additive compositions that improve the durability and functionality of biodegradable materials. The findings of this study contribute to the ongoing development of high-performance, environmentally friendly bioplastics, offering potential applications in sustainable packaging, biomedical engineering, and structural materials.</w:t>
      </w:r>
    </w:p>
    <w:p w14:paraId="03931B66" w14:textId="1965BCFA" w:rsidR="008F38B6" w:rsidRPr="008A6A55" w:rsidRDefault="008F38B6" w:rsidP="005E6F0F">
      <w:pPr>
        <w:spacing w:before="120" w:after="120"/>
        <w:jc w:val="center"/>
        <w:rPr>
          <w:b/>
          <w:lang w:val="en-GB"/>
        </w:rPr>
      </w:pPr>
      <w:r w:rsidRPr="008A6A55">
        <w:rPr>
          <w:b/>
          <w:lang w:val="en-GB"/>
        </w:rPr>
        <w:t>Results and Discussion</w:t>
      </w:r>
    </w:p>
    <w:p w14:paraId="55FCE2BF" w14:textId="77777777" w:rsidR="005E6F0F" w:rsidRPr="008A6A55" w:rsidRDefault="005E6F0F" w:rsidP="005E6F0F">
      <w:pPr>
        <w:tabs>
          <w:tab w:val="left" w:pos="198"/>
        </w:tabs>
        <w:spacing w:line="276" w:lineRule="auto"/>
        <w:ind w:firstLine="567"/>
        <w:jc w:val="both"/>
        <w:rPr>
          <w:lang w:val="en-GB"/>
        </w:rPr>
      </w:pPr>
      <w:r w:rsidRPr="008A6A55">
        <w:rPr>
          <w:lang w:val="en-GB"/>
        </w:rPr>
        <w:t>The mechanical properties of the modified biopolymer composites were evaluated based on tensile strength (TS) and elongation at break (Eb), providing insights into the effects of different organic and inorganic additives on material performance. The results demonstrated significant variations depending on the type and concentration of the additives, with certain compounds substantially enhancing the mechanical stability of the material, while others exhibited a negative impact when used in excessive amounts.</w:t>
      </w:r>
    </w:p>
    <w:p w14:paraId="61938C55" w14:textId="77777777" w:rsidR="005E6F0F" w:rsidRPr="008A6A55" w:rsidRDefault="005E6F0F" w:rsidP="005E6F0F">
      <w:pPr>
        <w:tabs>
          <w:tab w:val="left" w:pos="198"/>
        </w:tabs>
        <w:spacing w:line="276" w:lineRule="auto"/>
        <w:ind w:firstLine="567"/>
        <w:jc w:val="both"/>
        <w:rPr>
          <w:lang w:val="en-GB"/>
        </w:rPr>
      </w:pPr>
      <w:r w:rsidRPr="008A6A55">
        <w:rPr>
          <w:lang w:val="en-GB"/>
        </w:rPr>
        <w:t>In terms of tensile strength, the most significant improvement was observed in the sample containing 0.1 g of agar-agar, which exhibited a tensile strength 21% higher than the strongest non-modified biopolymer sample. This increase is likely attributed to agar-agar’s ability to enhance interfacial adhesion within the biopolymer matrix, promoting stronger intermolecular interactions. Cellulose acetate at 1 g also exhibited a noticeable reinforcing effect, increasing tensile strength by 15% compared to the base material. Similarly, collagen type II at 2 g demonstrated a 12% improvement, reinforcing the role of protein-based additives in enhancing mechanical robustness. The 0.5 g ortho-silicate sample resulted in a 10% improvement in tensile strength relative to the non-reinforced control, which aligns with previous studies indicating the potential of silicate-based reinforcements in stabilizing polymer networks.</w:t>
      </w:r>
    </w:p>
    <w:p w14:paraId="747B811A" w14:textId="77777777" w:rsidR="005E6F0F" w:rsidRPr="008A6A55" w:rsidRDefault="005E6F0F" w:rsidP="005E6F0F">
      <w:pPr>
        <w:tabs>
          <w:tab w:val="left" w:pos="198"/>
        </w:tabs>
        <w:spacing w:line="276" w:lineRule="auto"/>
        <w:ind w:firstLine="567"/>
        <w:jc w:val="both"/>
        <w:rPr>
          <w:lang w:val="en-GB"/>
        </w:rPr>
      </w:pPr>
      <w:r w:rsidRPr="008A6A55">
        <w:rPr>
          <w:lang w:val="en-GB"/>
        </w:rPr>
        <w:t>Conversely, certain additives at higher concentrations led to a deterioration in mechanical properties. For instance, increasing the concentration of collagen type II from 2 g to 3 g resulted in a 7% decrease in tensile strength, likely due to phase separation and reduced homogeneity of the composite structure. A similar trend was observed for cellulose acetate, where increasing its content beyond 1 g caused a 9% reduction in tensile strength, indicating that excessive filler content may disrupt the polymer matrix and lead to stress concentration points. These findings suggest that while moderate concentrations of certain additives can enhance material performance, exceeding the optimal threshold can have the opposite effect.</w:t>
      </w:r>
    </w:p>
    <w:p w14:paraId="4114B5AF" w14:textId="77777777" w:rsidR="005E6F0F" w:rsidRPr="008A6A55" w:rsidRDefault="005E6F0F" w:rsidP="005E6F0F">
      <w:pPr>
        <w:tabs>
          <w:tab w:val="left" w:pos="198"/>
        </w:tabs>
        <w:spacing w:line="276" w:lineRule="auto"/>
        <w:ind w:firstLine="567"/>
        <w:jc w:val="both"/>
        <w:rPr>
          <w:lang w:val="en-GB"/>
        </w:rPr>
      </w:pPr>
      <w:r w:rsidRPr="008A6A55">
        <w:rPr>
          <w:lang w:val="en-GB"/>
        </w:rPr>
        <w:t xml:space="preserve">Regarding elongation at break, which measures the material’s flexibility and ductility, </w:t>
      </w:r>
      <w:proofErr w:type="spellStart"/>
      <w:r w:rsidRPr="008A6A55">
        <w:rPr>
          <w:lang w:val="en-GB"/>
        </w:rPr>
        <w:t>Aerosil</w:t>
      </w:r>
      <w:proofErr w:type="spellEnd"/>
      <w:r w:rsidRPr="008A6A55">
        <w:rPr>
          <w:lang w:val="en-GB"/>
        </w:rPr>
        <w:t xml:space="preserve"> (0.5 g) exhibited the most pronounced improvement, increasing Eb by 48% relative to the control sample. This suggests that nanoscale dispersion of silica enhances polymer chain mobility, reducing brittleness and improving flexibility. Similarly, 3-aminopropyltriethoxysilane (1 g) contributed to an elongation increase of 32%, reinforcing the role of silane coupling agents in promoting plasticity within biopolymer matrices. Another notable improvement was seen in collagen type III (0.5 g), which improved elongation at break by 27%, likely due to the inherent elasticity of collagen </w:t>
      </w:r>
      <w:proofErr w:type="spellStart"/>
      <w:r w:rsidRPr="008A6A55">
        <w:rPr>
          <w:lang w:val="en-GB"/>
        </w:rPr>
        <w:t>fibers</w:t>
      </w:r>
      <w:proofErr w:type="spellEnd"/>
      <w:r w:rsidRPr="008A6A55">
        <w:rPr>
          <w:lang w:val="en-GB"/>
        </w:rPr>
        <w:t>, which facilitate stress distribution across the polymer network.</w:t>
      </w:r>
    </w:p>
    <w:p w14:paraId="528AE280" w14:textId="77777777" w:rsidR="005E6F0F" w:rsidRPr="008A6A55" w:rsidRDefault="005E6F0F" w:rsidP="005E6F0F">
      <w:pPr>
        <w:tabs>
          <w:tab w:val="left" w:pos="198"/>
        </w:tabs>
        <w:spacing w:line="276" w:lineRule="auto"/>
        <w:ind w:firstLine="567"/>
        <w:jc w:val="both"/>
        <w:rPr>
          <w:lang w:val="en-GB"/>
        </w:rPr>
      </w:pPr>
      <w:r w:rsidRPr="008A6A55">
        <w:rPr>
          <w:lang w:val="en-GB"/>
        </w:rPr>
        <w:t xml:space="preserve">Interestingly, while some organic fillers improved flexibility, others had a stiffening effect when used in high concentrations. For example, increasing </w:t>
      </w:r>
      <w:proofErr w:type="spellStart"/>
      <w:r w:rsidRPr="008A6A55">
        <w:rPr>
          <w:lang w:val="en-GB"/>
        </w:rPr>
        <w:t>hydrolyzed</w:t>
      </w:r>
      <w:proofErr w:type="spellEnd"/>
      <w:r w:rsidRPr="008A6A55">
        <w:rPr>
          <w:lang w:val="en-GB"/>
        </w:rPr>
        <w:t xml:space="preserve"> keratin content from 2 g to 4 g resulted in a 15% decrease in elongation at break, indicating that excessive protein reinforcement leads to a more brittle material. Likewise, high concentrations of cellulose acetate (above 1 g) reduced elongation by 18%, suggesting that an overly rigid polymer network </w:t>
      </w:r>
      <w:r w:rsidRPr="008A6A55">
        <w:rPr>
          <w:lang w:val="en-GB"/>
        </w:rPr>
        <w:lastRenderedPageBreak/>
        <w:t>compromises material ductility. These observations emphasize the importance of balancing reinforcement and flexibility to optimize composite properties for specific applications.</w:t>
      </w:r>
    </w:p>
    <w:p w14:paraId="40431A16" w14:textId="683A7E98" w:rsidR="00FD2540" w:rsidRPr="008A6A55" w:rsidRDefault="005E6F0F" w:rsidP="005E6F0F">
      <w:pPr>
        <w:tabs>
          <w:tab w:val="left" w:pos="198"/>
        </w:tabs>
        <w:spacing w:line="276" w:lineRule="auto"/>
        <w:ind w:firstLine="567"/>
        <w:jc w:val="both"/>
        <w:rPr>
          <w:lang w:val="en-GB"/>
        </w:rPr>
      </w:pPr>
      <w:r w:rsidRPr="008A6A55">
        <w:rPr>
          <w:lang w:val="en-GB"/>
        </w:rPr>
        <w:t>Overall, the results indicate that the mechanical performance of biopolymer-based composites is highly dependent on additive type and concentration. Moderate amounts of organic fillers such as collagen and keratin contribute to enhanced elasticity and durability, while inorganic reinforcements like silica-based additives improve tensile strength without sacrificing flexibility. However, excessive filler content can lead to phase separation, decreased homogeneity, and the formation of brittle domains, ultimately reducing material performance. These findings highlight the potential for fine-tuning biopolymer formulations to achieve a balance between strength, flexibility, and biodegradability, paving the way for improved applications in sustainable packaging, biomedical engineering, and structural materials. Future research should focus on refining processing techniques and exploring synergistic additive interactions to further enhance the mechanical properties of biopolymer-based materials.</w:t>
      </w:r>
    </w:p>
    <w:p w14:paraId="540B9760" w14:textId="77777777" w:rsidR="00FD2540" w:rsidRPr="008A6A55" w:rsidRDefault="00315272">
      <w:pPr>
        <w:spacing w:before="120" w:after="120"/>
        <w:jc w:val="center"/>
        <w:rPr>
          <w:b/>
          <w:lang w:val="en-GB"/>
        </w:rPr>
      </w:pPr>
      <w:r w:rsidRPr="008A6A55">
        <w:rPr>
          <w:b/>
          <w:lang w:val="en-GB"/>
        </w:rPr>
        <w:t>Conclusions</w:t>
      </w:r>
    </w:p>
    <w:p w14:paraId="3C5DF463" w14:textId="3F67085B" w:rsidR="00FD2540" w:rsidRPr="008A6A55" w:rsidRDefault="0013477B" w:rsidP="00ED4AAC">
      <w:pPr>
        <w:tabs>
          <w:tab w:val="left" w:pos="198"/>
        </w:tabs>
        <w:spacing w:line="276" w:lineRule="auto"/>
        <w:ind w:firstLine="567"/>
        <w:jc w:val="both"/>
        <w:rPr>
          <w:lang w:val="en-GB"/>
        </w:rPr>
      </w:pPr>
      <w:r w:rsidRPr="008A6A55">
        <w:rPr>
          <w:lang w:val="en-GB"/>
        </w:rPr>
        <w:t xml:space="preserve">The results of this study demonstrate that the mechanical properties of biopolymer-based composites can be significantly enhanced through the careful selection and optimization of organic and inorganic additives. The findings indicate that moderate concentrations of agar-agar, cellulose acetate, and collagen type II contribute to improved tensile strength, increasing it by up to 21% compared to the non-reinforced material, while maintaining structural integrity. Similarly, </w:t>
      </w:r>
      <w:proofErr w:type="spellStart"/>
      <w:r w:rsidRPr="008A6A55">
        <w:rPr>
          <w:lang w:val="en-GB"/>
        </w:rPr>
        <w:t>Aerosil</w:t>
      </w:r>
      <w:proofErr w:type="spellEnd"/>
      <w:r w:rsidRPr="008A6A55">
        <w:rPr>
          <w:lang w:val="en-GB"/>
        </w:rPr>
        <w:t xml:space="preserve"> and 3-aminopropyltriethoxysilane were the most effective in increasing elongation at break, enhancing flexibility by 48% and 32%, respectively. However, excessive additive concentrations resulted in material degradation, reducing mechanical stability and leading to phase separation and increased brittleness. This underlines the necessity of optimizing filler content to balance strength, elasticity, and processability for specific applications. These insights are crucial for the advancement of sustainable biopolymer formulations, allowing for the development of high-performance biodegradable materials with tailored mechanical properties. Future work should explore long-term durability, environmental degradation </w:t>
      </w:r>
      <w:proofErr w:type="spellStart"/>
      <w:r w:rsidRPr="008A6A55">
        <w:rPr>
          <w:lang w:val="en-GB"/>
        </w:rPr>
        <w:t>behavior</w:t>
      </w:r>
      <w:proofErr w:type="spellEnd"/>
      <w:r w:rsidRPr="008A6A55">
        <w:rPr>
          <w:lang w:val="en-GB"/>
        </w:rPr>
        <w:t>, and potential industrial applications to further enhance the practical viability of these composites in packaging, biomedical engineering, and structural applications.</w:t>
      </w:r>
    </w:p>
    <w:p w14:paraId="7B7543C4" w14:textId="2D58666B" w:rsidR="00FD2540" w:rsidRPr="008A6A55" w:rsidRDefault="00315272">
      <w:pPr>
        <w:spacing w:before="120" w:after="120"/>
        <w:jc w:val="center"/>
        <w:rPr>
          <w:b/>
          <w:lang w:val="en-GB"/>
        </w:rPr>
      </w:pPr>
      <w:r w:rsidRPr="008A6A55">
        <w:rPr>
          <w:b/>
          <w:lang w:val="en-GB"/>
        </w:rPr>
        <w:t>References</w:t>
      </w:r>
    </w:p>
    <w:p w14:paraId="474BA097" w14:textId="6F094652"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Avérous, L., &amp; Pollet, E. (2012). Biopolymers: Challenges and opportunities for commercial application. </w:t>
      </w:r>
      <w:r w:rsidRPr="008A6A55">
        <w:rPr>
          <w:i/>
          <w:iCs/>
          <w:lang w:val="en-GB"/>
        </w:rPr>
        <w:t>Advanced Materials, 24</w:t>
      </w:r>
      <w:r w:rsidRPr="008A6A55">
        <w:rPr>
          <w:lang w:val="en-GB"/>
        </w:rPr>
        <w:t>(33), 4220–4237.</w:t>
      </w:r>
    </w:p>
    <w:p w14:paraId="3B5C8CC2" w14:textId="19BACEEC"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Perego, G., Cella, G. D., &amp; </w:t>
      </w:r>
      <w:proofErr w:type="spellStart"/>
      <w:r w:rsidRPr="008A6A55">
        <w:rPr>
          <w:lang w:val="en-GB"/>
        </w:rPr>
        <w:t>Bastioli</w:t>
      </w:r>
      <w:proofErr w:type="spellEnd"/>
      <w:r w:rsidRPr="008A6A55">
        <w:rPr>
          <w:lang w:val="en-GB"/>
        </w:rPr>
        <w:t xml:space="preserve">, C. (1996). Mechanical properties of polylactic acid (PLA) composites: A review. </w:t>
      </w:r>
      <w:r w:rsidRPr="008A6A55">
        <w:rPr>
          <w:i/>
          <w:iCs/>
          <w:lang w:val="en-GB"/>
        </w:rPr>
        <w:t>Composites Part B: Engineering, 27</w:t>
      </w:r>
      <w:r w:rsidRPr="008A6A55">
        <w:rPr>
          <w:lang w:val="en-GB"/>
        </w:rPr>
        <w:t>(2), 175–185.</w:t>
      </w:r>
    </w:p>
    <w:p w14:paraId="6890C863" w14:textId="14B82235" w:rsidR="00575C4B" w:rsidRPr="008A6A55" w:rsidRDefault="00575C4B" w:rsidP="00575C4B">
      <w:pPr>
        <w:pStyle w:val="Akapitzlist"/>
        <w:numPr>
          <w:ilvl w:val="0"/>
          <w:numId w:val="6"/>
        </w:numPr>
        <w:spacing w:line="276" w:lineRule="auto"/>
        <w:ind w:left="567" w:hanging="567"/>
        <w:jc w:val="both"/>
        <w:rPr>
          <w:lang w:val="en-GB"/>
        </w:rPr>
      </w:pPr>
      <w:proofErr w:type="spellStart"/>
      <w:r w:rsidRPr="008A6A55">
        <w:rPr>
          <w:lang w:val="en-GB"/>
        </w:rPr>
        <w:t>Jamshidian</w:t>
      </w:r>
      <w:proofErr w:type="spellEnd"/>
      <w:r w:rsidRPr="008A6A55">
        <w:rPr>
          <w:lang w:val="en-GB"/>
        </w:rPr>
        <w:t xml:space="preserve">, M., </w:t>
      </w:r>
      <w:proofErr w:type="spellStart"/>
      <w:r w:rsidRPr="008A6A55">
        <w:rPr>
          <w:lang w:val="en-GB"/>
        </w:rPr>
        <w:t>Tehrany</w:t>
      </w:r>
      <w:proofErr w:type="spellEnd"/>
      <w:r w:rsidRPr="008A6A55">
        <w:rPr>
          <w:lang w:val="en-GB"/>
        </w:rPr>
        <w:t xml:space="preserve">, E. A., Imran, M., Jacquot, M., &amp; Desobry, S. (2010). Polylactic acid: Synthesis, properties, and applications. </w:t>
      </w:r>
      <w:r w:rsidRPr="008A6A55">
        <w:rPr>
          <w:i/>
          <w:iCs/>
          <w:lang w:val="en-GB"/>
        </w:rPr>
        <w:t>Biotechnology Journal, 5</w:t>
      </w:r>
      <w:r w:rsidRPr="008A6A55">
        <w:rPr>
          <w:lang w:val="en-GB"/>
        </w:rPr>
        <w:t>(6), 578–602.</w:t>
      </w:r>
    </w:p>
    <w:p w14:paraId="15647CF9" w14:textId="266C2706" w:rsidR="00575C4B" w:rsidRPr="008A6A55" w:rsidRDefault="00575C4B" w:rsidP="00575C4B">
      <w:pPr>
        <w:pStyle w:val="Akapitzlist"/>
        <w:numPr>
          <w:ilvl w:val="0"/>
          <w:numId w:val="6"/>
        </w:numPr>
        <w:spacing w:line="276" w:lineRule="auto"/>
        <w:ind w:left="567" w:hanging="567"/>
        <w:jc w:val="both"/>
        <w:rPr>
          <w:lang w:val="en-GB"/>
        </w:rPr>
      </w:pPr>
      <w:proofErr w:type="spellStart"/>
      <w:r w:rsidRPr="008A6A55">
        <w:rPr>
          <w:lang w:val="en-GB"/>
        </w:rPr>
        <w:t>Kunasundari</w:t>
      </w:r>
      <w:proofErr w:type="spellEnd"/>
      <w:r w:rsidRPr="008A6A55">
        <w:rPr>
          <w:lang w:val="en-GB"/>
        </w:rPr>
        <w:t xml:space="preserve">, B., &amp; Sudesh, K. (2011). Advances in polyhydroxyalkanoate (PHA) production. </w:t>
      </w:r>
      <w:r w:rsidRPr="008A6A55">
        <w:rPr>
          <w:i/>
          <w:iCs/>
          <w:lang w:val="en-GB"/>
        </w:rPr>
        <w:t>Journal of Biotechnology, 156</w:t>
      </w:r>
      <w:r w:rsidRPr="008A6A55">
        <w:rPr>
          <w:lang w:val="en-GB"/>
        </w:rPr>
        <w:t>(4), 287–298.</w:t>
      </w:r>
    </w:p>
    <w:p w14:paraId="4B1B0B5D" w14:textId="033C317D"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Chen, G. Q., &amp; Patel, M. K. (2012). Polyhydroxyalkanoates (PHA) for tissue engineering. </w:t>
      </w:r>
      <w:r w:rsidRPr="008A6A55">
        <w:rPr>
          <w:i/>
          <w:iCs/>
          <w:lang w:val="en-GB"/>
        </w:rPr>
        <w:t>Materials Science and Engineering: C, 29</w:t>
      </w:r>
      <w:r w:rsidRPr="008A6A55">
        <w:rPr>
          <w:lang w:val="en-GB"/>
        </w:rPr>
        <w:t>(4), 1253–1260.</w:t>
      </w:r>
    </w:p>
    <w:p w14:paraId="678FBD62" w14:textId="3394EFDB"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Franken, L., &amp; Dijkstra, P. (2012). The structure, functions, and mechanical properties of keratin. </w:t>
      </w:r>
      <w:r w:rsidRPr="008A6A55">
        <w:rPr>
          <w:i/>
          <w:iCs/>
          <w:lang w:val="en-GB"/>
        </w:rPr>
        <w:t>JOM Journal of the Minerals, Metals and Materials Society, 64</w:t>
      </w:r>
      <w:r w:rsidRPr="008A6A55">
        <w:rPr>
          <w:lang w:val="en-GB"/>
        </w:rPr>
        <w:t>(3), 282–288.</w:t>
      </w:r>
    </w:p>
    <w:p w14:paraId="10614733" w14:textId="2F57801B"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Sun, Y., &amp; Zhang, Y. (2007). Mechanical properties of native and cross-linked type I collagen fibrils. </w:t>
      </w:r>
      <w:r w:rsidRPr="008A6A55">
        <w:rPr>
          <w:i/>
          <w:iCs/>
          <w:lang w:val="en-GB"/>
        </w:rPr>
        <w:t>Biophysical Journal, 92</w:t>
      </w:r>
      <w:r w:rsidRPr="008A6A55">
        <w:rPr>
          <w:lang w:val="en-GB"/>
        </w:rPr>
        <w:t>(10), 3492–3500.</w:t>
      </w:r>
    </w:p>
    <w:p w14:paraId="7EF526E5" w14:textId="4D734235"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lastRenderedPageBreak/>
        <w:t xml:space="preserve">Ghorpade, V. M., Hanna, M. A., &amp; Darbha, P. (2001). Biodegradable casein films: Preparation and characterization. </w:t>
      </w:r>
      <w:r w:rsidRPr="008A6A55">
        <w:rPr>
          <w:i/>
          <w:iCs/>
          <w:lang w:val="en-GB"/>
        </w:rPr>
        <w:t>Biomacromolecules, 2</w:t>
      </w:r>
      <w:r w:rsidRPr="008A6A55">
        <w:rPr>
          <w:lang w:val="en-GB"/>
        </w:rPr>
        <w:t>(2), 295–299.</w:t>
      </w:r>
    </w:p>
    <w:p w14:paraId="1DE22850" w14:textId="35245038"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Gupta, P., &amp; Nayak, K. K. (2019). Protein-based materials: From source to applications. </w:t>
      </w:r>
      <w:r w:rsidRPr="008A6A55">
        <w:rPr>
          <w:i/>
          <w:iCs/>
          <w:lang w:val="en-GB"/>
        </w:rPr>
        <w:t>Materials Science and Engineering: R: Reports, 137</w:t>
      </w:r>
      <w:r w:rsidRPr="008A6A55">
        <w:rPr>
          <w:lang w:val="en-GB"/>
        </w:rPr>
        <w:t>, 100377.</w:t>
      </w:r>
    </w:p>
    <w:p w14:paraId="08314821" w14:textId="7E1D5DBE" w:rsidR="00575C4B" w:rsidRPr="008A6A55" w:rsidRDefault="00575C4B" w:rsidP="00575C4B">
      <w:pPr>
        <w:pStyle w:val="Akapitzlist"/>
        <w:numPr>
          <w:ilvl w:val="0"/>
          <w:numId w:val="6"/>
        </w:numPr>
        <w:spacing w:line="276" w:lineRule="auto"/>
        <w:ind w:left="567" w:hanging="567"/>
        <w:jc w:val="both"/>
        <w:rPr>
          <w:lang w:val="en-GB"/>
        </w:rPr>
      </w:pPr>
      <w:proofErr w:type="spellStart"/>
      <w:r w:rsidRPr="008A6A55">
        <w:rPr>
          <w:lang w:val="en-GB"/>
        </w:rPr>
        <w:t>Fratzl</w:t>
      </w:r>
      <w:proofErr w:type="spellEnd"/>
      <w:r w:rsidRPr="008A6A55">
        <w:rPr>
          <w:lang w:val="en-GB"/>
        </w:rPr>
        <w:t xml:space="preserve">, P. (2008). Fibrillar structure and mechanical properties of collagen. </w:t>
      </w:r>
      <w:r w:rsidRPr="008A6A55">
        <w:rPr>
          <w:i/>
          <w:iCs/>
          <w:lang w:val="en-GB"/>
        </w:rPr>
        <w:t>Journal of Structural Biology, 122</w:t>
      </w:r>
      <w:r w:rsidRPr="008A6A55">
        <w:rPr>
          <w:lang w:val="en-GB"/>
        </w:rPr>
        <w:t>(1-2), 119–122.</w:t>
      </w:r>
    </w:p>
    <w:p w14:paraId="65A8BCE7" w14:textId="79029250"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Shen, Z. L., Dodge, M. R., Kahn, H., Ballarini, R., &amp; </w:t>
      </w:r>
      <w:proofErr w:type="spellStart"/>
      <w:r w:rsidRPr="008A6A55">
        <w:rPr>
          <w:lang w:val="en-GB"/>
        </w:rPr>
        <w:t>Eppell</w:t>
      </w:r>
      <w:proofErr w:type="spellEnd"/>
      <w:r w:rsidRPr="008A6A55">
        <w:rPr>
          <w:lang w:val="en-GB"/>
        </w:rPr>
        <w:t xml:space="preserve">, S. J. (2008). Stress-strain experiments on individual collagen fibrils. </w:t>
      </w:r>
      <w:r w:rsidRPr="008A6A55">
        <w:rPr>
          <w:i/>
          <w:iCs/>
          <w:lang w:val="en-GB"/>
        </w:rPr>
        <w:t>Biophysical Journal, 95</w:t>
      </w:r>
      <w:r w:rsidRPr="008A6A55">
        <w:rPr>
          <w:lang w:val="en-GB"/>
        </w:rPr>
        <w:t>(8), 3956–3963.</w:t>
      </w:r>
    </w:p>
    <w:p w14:paraId="1563DC7C" w14:textId="3585C4CE"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Elvin, C. M., Carr, A. G., Huson, M. G., Maxwell, J. M., Pearson, R. D., Vuocolo, T., </w:t>
      </w:r>
      <w:proofErr w:type="spellStart"/>
      <w:r w:rsidRPr="008A6A55">
        <w:rPr>
          <w:lang w:val="en-GB"/>
        </w:rPr>
        <w:t>Liyou</w:t>
      </w:r>
      <w:proofErr w:type="spellEnd"/>
      <w:r w:rsidRPr="008A6A55">
        <w:rPr>
          <w:lang w:val="en-GB"/>
        </w:rPr>
        <w:t xml:space="preserve">, N. E., Wong, D. C., Merritt, D. J., &amp; Dixon, N. E. (2005). Synthesis and properties of crosslinked recombinant pro-resilin. </w:t>
      </w:r>
      <w:r w:rsidRPr="008A6A55">
        <w:rPr>
          <w:i/>
          <w:iCs/>
          <w:lang w:val="en-GB"/>
        </w:rPr>
        <w:t>Nature, 437</w:t>
      </w:r>
      <w:r w:rsidRPr="008A6A55">
        <w:rPr>
          <w:lang w:val="en-GB"/>
        </w:rPr>
        <w:t>(7061), 999–1002.</w:t>
      </w:r>
    </w:p>
    <w:p w14:paraId="330E5079" w14:textId="0737D11A"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Lazaris, A., Arcidiacono, S., Huang, Y., Zhou, J. F., Duguay, F., Chretien, N., Welsh, E. A., Soares, J. W., &amp; Karatzas, C. N. (2002). Spider silk </w:t>
      </w:r>
      <w:proofErr w:type="spellStart"/>
      <w:r w:rsidRPr="008A6A55">
        <w:rPr>
          <w:lang w:val="en-GB"/>
        </w:rPr>
        <w:t>fibers</w:t>
      </w:r>
      <w:proofErr w:type="spellEnd"/>
      <w:r w:rsidRPr="008A6A55">
        <w:rPr>
          <w:lang w:val="en-GB"/>
        </w:rPr>
        <w:t xml:space="preserve"> spun from soluble recombinant silk produced in mammalian cells. </w:t>
      </w:r>
      <w:r w:rsidRPr="008A6A55">
        <w:rPr>
          <w:i/>
          <w:iCs/>
          <w:lang w:val="en-GB"/>
        </w:rPr>
        <w:t>Science, 295</w:t>
      </w:r>
      <w:r w:rsidRPr="008A6A55">
        <w:rPr>
          <w:lang w:val="en-GB"/>
        </w:rPr>
        <w:t>(5554), 472–476.</w:t>
      </w:r>
    </w:p>
    <w:p w14:paraId="4731FA1D" w14:textId="6AA8A20F"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Sun, J., &amp; Bhushan, B. (2012). Hierarchical structure and mechanical properties of nacre: A review. </w:t>
      </w:r>
      <w:r w:rsidRPr="008A6A55">
        <w:rPr>
          <w:i/>
          <w:iCs/>
          <w:lang w:val="en-GB"/>
        </w:rPr>
        <w:t>RSC Advances, 2</w:t>
      </w:r>
      <w:r w:rsidRPr="008A6A55">
        <w:rPr>
          <w:lang w:val="en-GB"/>
        </w:rPr>
        <w:t>(20), 7617–7632.</w:t>
      </w:r>
    </w:p>
    <w:p w14:paraId="6355014D" w14:textId="06441A5E" w:rsidR="00575C4B" w:rsidRPr="008A6A55" w:rsidRDefault="00575C4B" w:rsidP="00575C4B">
      <w:pPr>
        <w:pStyle w:val="Akapitzlist"/>
        <w:numPr>
          <w:ilvl w:val="0"/>
          <w:numId w:val="6"/>
        </w:numPr>
        <w:spacing w:line="276" w:lineRule="auto"/>
        <w:ind w:left="567" w:hanging="567"/>
        <w:jc w:val="both"/>
        <w:rPr>
          <w:lang w:val="en-GB"/>
        </w:rPr>
      </w:pPr>
      <w:proofErr w:type="spellStart"/>
      <w:r w:rsidRPr="008A6A55">
        <w:rPr>
          <w:lang w:val="en-GB"/>
        </w:rPr>
        <w:t>Vepari</w:t>
      </w:r>
      <w:proofErr w:type="spellEnd"/>
      <w:r w:rsidRPr="008A6A55">
        <w:rPr>
          <w:lang w:val="en-GB"/>
        </w:rPr>
        <w:t xml:space="preserve">, C., &amp; Kaplan, D. L. (2007). Silk as a biomaterial. </w:t>
      </w:r>
      <w:r w:rsidRPr="008A6A55">
        <w:rPr>
          <w:i/>
          <w:iCs/>
          <w:lang w:val="en-GB"/>
        </w:rPr>
        <w:t>Progress in Polymer Science, 32</w:t>
      </w:r>
      <w:r w:rsidRPr="008A6A55">
        <w:rPr>
          <w:lang w:val="en-GB"/>
        </w:rPr>
        <w:t>(8-9), 991–1007.</w:t>
      </w:r>
    </w:p>
    <w:p w14:paraId="4F1FCDD9" w14:textId="3C7F9A02" w:rsidR="00575C4B" w:rsidRPr="008A6A55" w:rsidRDefault="00575C4B" w:rsidP="00575C4B">
      <w:pPr>
        <w:pStyle w:val="Akapitzlist"/>
        <w:numPr>
          <w:ilvl w:val="0"/>
          <w:numId w:val="6"/>
        </w:numPr>
        <w:spacing w:line="276" w:lineRule="auto"/>
        <w:ind w:left="567" w:hanging="567"/>
        <w:jc w:val="both"/>
        <w:rPr>
          <w:lang w:val="en-GB"/>
        </w:rPr>
      </w:pPr>
      <w:proofErr w:type="spellStart"/>
      <w:r w:rsidRPr="008A6A55">
        <w:rPr>
          <w:lang w:val="en-GB"/>
        </w:rPr>
        <w:t>Keten</w:t>
      </w:r>
      <w:proofErr w:type="spellEnd"/>
      <w:r w:rsidRPr="008A6A55">
        <w:rPr>
          <w:lang w:val="en-GB"/>
        </w:rPr>
        <w:t xml:space="preserve">, S., Xu, Z., Ihle, B., &amp; Buehler, M. J. (2010). Nanoconfinement controls stiffness, strength and mechanical toughness of beta-sheet crystals in silk. </w:t>
      </w:r>
      <w:r w:rsidRPr="008A6A55">
        <w:rPr>
          <w:i/>
          <w:iCs/>
          <w:lang w:val="en-GB"/>
        </w:rPr>
        <w:t>Nature Materials, 9</w:t>
      </w:r>
      <w:r w:rsidRPr="008A6A55">
        <w:rPr>
          <w:lang w:val="en-GB"/>
        </w:rPr>
        <w:t>(4), 359–367.</w:t>
      </w:r>
    </w:p>
    <w:p w14:paraId="1228E6BC" w14:textId="080476BF"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Cranford, S. W., </w:t>
      </w:r>
      <w:proofErr w:type="spellStart"/>
      <w:r w:rsidRPr="008A6A55">
        <w:rPr>
          <w:lang w:val="en-GB"/>
        </w:rPr>
        <w:t>Tarakanova</w:t>
      </w:r>
      <w:proofErr w:type="spellEnd"/>
      <w:r w:rsidRPr="008A6A55">
        <w:rPr>
          <w:lang w:val="en-GB"/>
        </w:rPr>
        <w:t xml:space="preserve">, A., Pugno, N. M., &amp; Buehler, M. J. (2012). Nonlinear material behaviour of spider silk yields robust webs. </w:t>
      </w:r>
      <w:r w:rsidRPr="008A6A55">
        <w:rPr>
          <w:i/>
          <w:iCs/>
          <w:lang w:val="en-GB"/>
        </w:rPr>
        <w:t>Nature, 482</w:t>
      </w:r>
      <w:r w:rsidRPr="008A6A55">
        <w:rPr>
          <w:lang w:val="en-GB"/>
        </w:rPr>
        <w:t>(7383), 72–76.</w:t>
      </w:r>
    </w:p>
    <w:p w14:paraId="46287929" w14:textId="4490B64D" w:rsidR="00575C4B" w:rsidRPr="008A6A55" w:rsidRDefault="00575C4B" w:rsidP="00575C4B">
      <w:pPr>
        <w:pStyle w:val="Akapitzlist"/>
        <w:numPr>
          <w:ilvl w:val="0"/>
          <w:numId w:val="6"/>
        </w:numPr>
        <w:spacing w:line="276" w:lineRule="auto"/>
        <w:ind w:left="567" w:hanging="567"/>
        <w:jc w:val="both"/>
        <w:rPr>
          <w:lang w:val="en-GB"/>
        </w:rPr>
      </w:pPr>
      <w:r w:rsidRPr="008A6A55">
        <w:rPr>
          <w:lang w:val="en-GB"/>
        </w:rPr>
        <w:t xml:space="preserve">Buehler, M. J. (2006). Nature designs tough collagen: Explaining the nanostructure of collagen fibrils. </w:t>
      </w:r>
      <w:r w:rsidRPr="008A6A55">
        <w:rPr>
          <w:i/>
          <w:iCs/>
          <w:lang w:val="en-GB"/>
        </w:rPr>
        <w:t>Proceedings of the National Academy of Sciences, 103</w:t>
      </w:r>
      <w:r w:rsidRPr="008A6A55">
        <w:rPr>
          <w:lang w:val="en-GB"/>
        </w:rPr>
        <w:t>(33), 12285–12290.</w:t>
      </w:r>
    </w:p>
    <w:p w14:paraId="19BD02F2" w14:textId="63AC50B7" w:rsidR="00575C4B" w:rsidRPr="008A6A55" w:rsidRDefault="00575C4B" w:rsidP="00575C4B">
      <w:pPr>
        <w:pStyle w:val="Akapitzlist"/>
        <w:numPr>
          <w:ilvl w:val="0"/>
          <w:numId w:val="6"/>
        </w:numPr>
        <w:spacing w:line="276" w:lineRule="auto"/>
        <w:ind w:left="567" w:hanging="567"/>
        <w:jc w:val="both"/>
        <w:rPr>
          <w:lang w:val="en-GB"/>
        </w:rPr>
      </w:pPr>
      <w:proofErr w:type="spellStart"/>
      <w:r w:rsidRPr="008A6A55">
        <w:rPr>
          <w:lang w:val="en-GB"/>
        </w:rPr>
        <w:t>Wegst</w:t>
      </w:r>
      <w:proofErr w:type="spellEnd"/>
      <w:r w:rsidRPr="008A6A55">
        <w:rPr>
          <w:lang w:val="en-GB"/>
        </w:rPr>
        <w:t xml:space="preserve">, U. G. K., Bai, H., Saiz, E., </w:t>
      </w:r>
      <w:proofErr w:type="spellStart"/>
      <w:r w:rsidRPr="008A6A55">
        <w:rPr>
          <w:lang w:val="en-GB"/>
        </w:rPr>
        <w:t>Tomsia</w:t>
      </w:r>
      <w:proofErr w:type="spellEnd"/>
      <w:r w:rsidRPr="008A6A55">
        <w:rPr>
          <w:lang w:val="en-GB"/>
        </w:rPr>
        <w:t xml:space="preserve">, A. P., &amp; Ritchie, R. O. (2015). Bioinspired structural materials. </w:t>
      </w:r>
      <w:r w:rsidRPr="008A6A55">
        <w:rPr>
          <w:i/>
          <w:iCs/>
          <w:lang w:val="en-GB"/>
        </w:rPr>
        <w:t>Nature Materials, 14</w:t>
      </w:r>
      <w:r w:rsidRPr="008A6A55">
        <w:rPr>
          <w:lang w:val="en-GB"/>
        </w:rPr>
        <w:t>(1), 23–36.</w:t>
      </w:r>
    </w:p>
    <w:p w14:paraId="02ADEE07" w14:textId="77777777" w:rsidR="00BD31DA" w:rsidRPr="008A6A55" w:rsidRDefault="00575C4B" w:rsidP="00BD31DA">
      <w:pPr>
        <w:pStyle w:val="Akapitzlist"/>
        <w:numPr>
          <w:ilvl w:val="0"/>
          <w:numId w:val="6"/>
        </w:numPr>
        <w:spacing w:line="276" w:lineRule="auto"/>
        <w:ind w:left="567" w:hanging="567"/>
        <w:jc w:val="both"/>
        <w:rPr>
          <w:lang w:val="en-GB"/>
        </w:rPr>
      </w:pPr>
      <w:r w:rsidRPr="008A6A55">
        <w:rPr>
          <w:lang w:val="en-GB"/>
        </w:rPr>
        <w:t xml:space="preserve">Liu, Z., Zhang, Z., &amp; Ritchie, R. O. (2018). Structural orientation and anisotropy in biological materials: Functional designs and mechanics. </w:t>
      </w:r>
      <w:r w:rsidRPr="008A6A55">
        <w:rPr>
          <w:i/>
          <w:iCs/>
          <w:lang w:val="en-GB"/>
        </w:rPr>
        <w:t>Advanced Functional Materials, 28</w:t>
      </w:r>
      <w:r w:rsidRPr="008A6A55">
        <w:rPr>
          <w:lang w:val="en-GB"/>
        </w:rPr>
        <w:t>(41), 1803732.</w:t>
      </w:r>
    </w:p>
    <w:p w14:paraId="0CDFAC89" w14:textId="77777777" w:rsidR="00BD31DA" w:rsidRPr="008A6A55" w:rsidRDefault="00BD31DA" w:rsidP="00BD31DA">
      <w:pPr>
        <w:pStyle w:val="Akapitzlist"/>
        <w:numPr>
          <w:ilvl w:val="0"/>
          <w:numId w:val="6"/>
        </w:numPr>
        <w:spacing w:line="276" w:lineRule="auto"/>
        <w:ind w:left="567" w:hanging="567"/>
        <w:jc w:val="both"/>
        <w:rPr>
          <w:lang w:val="en-GB"/>
        </w:rPr>
      </w:pPr>
      <w:r w:rsidRPr="008A6A55">
        <w:rPr>
          <w:lang w:val="en-GB"/>
        </w:rPr>
        <w:t xml:space="preserve">El </w:t>
      </w:r>
      <w:proofErr w:type="spellStart"/>
      <w:r w:rsidRPr="008A6A55">
        <w:rPr>
          <w:lang w:val="en-GB"/>
        </w:rPr>
        <w:t>Marouazi</w:t>
      </w:r>
      <w:proofErr w:type="spellEnd"/>
      <w:r w:rsidRPr="008A6A55">
        <w:rPr>
          <w:lang w:val="en-GB"/>
        </w:rPr>
        <w:t xml:space="preserve">, H., van Der Schueren, B., Favier, D., Bolley, A., </w:t>
      </w:r>
      <w:proofErr w:type="spellStart"/>
      <w:r w:rsidRPr="008A6A55">
        <w:rPr>
          <w:lang w:val="en-GB"/>
        </w:rPr>
        <w:t>Dagorne</w:t>
      </w:r>
      <w:proofErr w:type="spellEnd"/>
      <w:r w:rsidRPr="008A6A55">
        <w:rPr>
          <w:lang w:val="en-GB"/>
        </w:rPr>
        <w:t xml:space="preserve">, S., </w:t>
      </w:r>
      <w:proofErr w:type="spellStart"/>
      <w:r w:rsidRPr="008A6A55">
        <w:rPr>
          <w:lang w:val="en-GB"/>
        </w:rPr>
        <w:t>Dintzer</w:t>
      </w:r>
      <w:proofErr w:type="spellEnd"/>
      <w:r w:rsidRPr="008A6A55">
        <w:rPr>
          <w:lang w:val="en-GB"/>
        </w:rPr>
        <w:t xml:space="preserve">, T., &amp; Janowska, I. (2021). Great enhancement of mechanical features in PLA based composites containing aligned few </w:t>
      </w:r>
      <w:proofErr w:type="gramStart"/>
      <w:r w:rsidRPr="008A6A55">
        <w:rPr>
          <w:lang w:val="en-GB"/>
        </w:rPr>
        <w:t>layer</w:t>
      </w:r>
      <w:proofErr w:type="gramEnd"/>
      <w:r w:rsidRPr="008A6A55">
        <w:rPr>
          <w:lang w:val="en-GB"/>
        </w:rPr>
        <w:t xml:space="preserve"> graphene (FLG), the effect of FLG loading, size, and dispersion on mechanical and thermal properties. </w:t>
      </w:r>
      <w:r w:rsidRPr="008A6A55">
        <w:rPr>
          <w:i/>
          <w:iCs/>
          <w:lang w:val="en-GB"/>
        </w:rPr>
        <w:t>Journal of Applied Polymer Science</w:t>
      </w:r>
      <w:r w:rsidRPr="008A6A55">
        <w:rPr>
          <w:lang w:val="en-GB"/>
        </w:rPr>
        <w:t xml:space="preserve">, </w:t>
      </w:r>
      <w:r w:rsidRPr="008A6A55">
        <w:rPr>
          <w:i/>
          <w:iCs/>
          <w:lang w:val="en-GB"/>
        </w:rPr>
        <w:t>138</w:t>
      </w:r>
      <w:r w:rsidRPr="008A6A55">
        <w:rPr>
          <w:lang w:val="en-GB"/>
        </w:rPr>
        <w:t>(44), 51300.</w:t>
      </w:r>
    </w:p>
    <w:p w14:paraId="03B0ABD4" w14:textId="77777777" w:rsidR="00BD31DA" w:rsidRPr="008A6A55" w:rsidRDefault="00BD31DA" w:rsidP="00BD31DA">
      <w:pPr>
        <w:pStyle w:val="Akapitzlist"/>
        <w:numPr>
          <w:ilvl w:val="0"/>
          <w:numId w:val="6"/>
        </w:numPr>
        <w:spacing w:line="276" w:lineRule="auto"/>
        <w:ind w:left="567" w:hanging="567"/>
        <w:jc w:val="both"/>
        <w:rPr>
          <w:lang w:val="en-GB"/>
        </w:rPr>
      </w:pPr>
      <w:r w:rsidRPr="008A6A55">
        <w:rPr>
          <w:lang w:val="en-GB"/>
        </w:rPr>
        <w:t xml:space="preserve">Liu, Y. Y., Blazquez, J. P. F., Yin, G. Z., Wang, D. Y., Llorca, J., &amp; Echeverry-Rendón, M. (2023). A strategy to tailor the mechanical and degradation properties of PCL-PEG-PCL based copolymers for biomedical application. </w:t>
      </w:r>
      <w:r w:rsidRPr="008A6A55">
        <w:rPr>
          <w:i/>
          <w:iCs/>
          <w:lang w:val="en-GB"/>
        </w:rPr>
        <w:t>European Polymer Journal</w:t>
      </w:r>
      <w:r w:rsidRPr="008A6A55">
        <w:rPr>
          <w:lang w:val="en-GB"/>
        </w:rPr>
        <w:t xml:space="preserve">, </w:t>
      </w:r>
      <w:r w:rsidRPr="008A6A55">
        <w:rPr>
          <w:i/>
          <w:iCs/>
          <w:lang w:val="en-GB"/>
        </w:rPr>
        <w:t>198</w:t>
      </w:r>
      <w:r w:rsidRPr="008A6A55">
        <w:rPr>
          <w:lang w:val="en-GB"/>
        </w:rPr>
        <w:t>, 112388.</w:t>
      </w:r>
    </w:p>
    <w:p w14:paraId="60B2CE16" w14:textId="715FCFB8" w:rsidR="00575C4B" w:rsidRPr="008A6A55" w:rsidRDefault="00BD31DA" w:rsidP="00BD31DA">
      <w:pPr>
        <w:pStyle w:val="Akapitzlist"/>
        <w:numPr>
          <w:ilvl w:val="0"/>
          <w:numId w:val="6"/>
        </w:numPr>
        <w:spacing w:line="276" w:lineRule="auto"/>
        <w:ind w:left="567" w:hanging="567"/>
        <w:jc w:val="both"/>
        <w:rPr>
          <w:lang w:val="en-GB"/>
        </w:rPr>
      </w:pPr>
      <w:proofErr w:type="spellStart"/>
      <w:r w:rsidRPr="008A6A55">
        <w:rPr>
          <w:lang w:val="en-GB"/>
        </w:rPr>
        <w:t>Sumrith</w:t>
      </w:r>
      <w:proofErr w:type="spellEnd"/>
      <w:r w:rsidRPr="008A6A55">
        <w:rPr>
          <w:lang w:val="en-GB"/>
        </w:rPr>
        <w:t xml:space="preserve">, N., </w:t>
      </w:r>
      <w:proofErr w:type="spellStart"/>
      <w:r w:rsidRPr="008A6A55">
        <w:rPr>
          <w:lang w:val="en-GB"/>
        </w:rPr>
        <w:t>Rangappa</w:t>
      </w:r>
      <w:proofErr w:type="spellEnd"/>
      <w:r w:rsidRPr="008A6A55">
        <w:rPr>
          <w:lang w:val="en-GB"/>
        </w:rPr>
        <w:t xml:space="preserve">, S. M., </w:t>
      </w:r>
      <w:proofErr w:type="spellStart"/>
      <w:r w:rsidRPr="008A6A55">
        <w:rPr>
          <w:lang w:val="en-GB"/>
        </w:rPr>
        <w:t>Dangtungee</w:t>
      </w:r>
      <w:proofErr w:type="spellEnd"/>
      <w:r w:rsidRPr="008A6A55">
        <w:rPr>
          <w:lang w:val="en-GB"/>
        </w:rPr>
        <w:t xml:space="preserve">, R., </w:t>
      </w:r>
      <w:proofErr w:type="spellStart"/>
      <w:r w:rsidRPr="008A6A55">
        <w:rPr>
          <w:lang w:val="en-GB"/>
        </w:rPr>
        <w:t>Siengchin</w:t>
      </w:r>
      <w:proofErr w:type="spellEnd"/>
      <w:r w:rsidRPr="008A6A55">
        <w:rPr>
          <w:lang w:val="en-GB"/>
        </w:rPr>
        <w:t xml:space="preserve">, S., Jawaid, M., &amp; </w:t>
      </w:r>
      <w:proofErr w:type="spellStart"/>
      <w:r w:rsidRPr="008A6A55">
        <w:rPr>
          <w:lang w:val="en-GB"/>
        </w:rPr>
        <w:t>Pruncu</w:t>
      </w:r>
      <w:proofErr w:type="spellEnd"/>
      <w:r w:rsidRPr="008A6A55">
        <w:rPr>
          <w:lang w:val="en-GB"/>
        </w:rPr>
        <w:t xml:space="preserve">, C. I. (2019). Biopolymers-based nanocomposites: Properties and applications. </w:t>
      </w:r>
      <w:r w:rsidRPr="008A6A55">
        <w:rPr>
          <w:i/>
          <w:iCs/>
          <w:lang w:val="en-GB"/>
        </w:rPr>
        <w:t>Bio-based Polymers and Nanocomposites: Preparation, Processing, Properties &amp; Performance</w:t>
      </w:r>
      <w:r w:rsidRPr="008A6A55">
        <w:rPr>
          <w:lang w:val="en-GB"/>
        </w:rPr>
        <w:t>, 255-272.</w:t>
      </w:r>
    </w:p>
    <w:p w14:paraId="7F0B4B31" w14:textId="77777777" w:rsidR="0013477B" w:rsidRPr="008A6A55" w:rsidRDefault="00575C4B" w:rsidP="0013477B">
      <w:pPr>
        <w:pStyle w:val="Akapitzlist"/>
        <w:numPr>
          <w:ilvl w:val="0"/>
          <w:numId w:val="6"/>
        </w:numPr>
        <w:spacing w:line="276" w:lineRule="auto"/>
        <w:ind w:left="567" w:hanging="567"/>
        <w:jc w:val="both"/>
        <w:rPr>
          <w:lang w:val="en-GB"/>
        </w:rPr>
      </w:pPr>
      <w:proofErr w:type="spellStart"/>
      <w:r w:rsidRPr="008A6A55">
        <w:rPr>
          <w:lang w:val="en-GB"/>
        </w:rPr>
        <w:t>Averous</w:t>
      </w:r>
      <w:proofErr w:type="spellEnd"/>
      <w:r w:rsidRPr="008A6A55">
        <w:rPr>
          <w:lang w:val="en-GB"/>
        </w:rPr>
        <w:t xml:space="preserve">, L., &amp; Moro, L. (2019). Enhancing mechanical properties of biopolymers through additive incorporation. </w:t>
      </w:r>
      <w:r w:rsidRPr="008A6A55">
        <w:rPr>
          <w:i/>
          <w:iCs/>
          <w:lang w:val="en-GB"/>
        </w:rPr>
        <w:t>Polymer Engineering &amp; Science, 59</w:t>
      </w:r>
      <w:r w:rsidRPr="008A6A55">
        <w:rPr>
          <w:lang w:val="en-GB"/>
        </w:rPr>
        <w:t>(7), 1372–1383.</w:t>
      </w:r>
    </w:p>
    <w:p w14:paraId="4436A5F8" w14:textId="65EE38F0" w:rsidR="00575C4B" w:rsidRPr="008A6A55" w:rsidRDefault="00575C4B" w:rsidP="0013477B">
      <w:pPr>
        <w:pStyle w:val="Akapitzlist"/>
        <w:numPr>
          <w:ilvl w:val="0"/>
          <w:numId w:val="6"/>
        </w:numPr>
        <w:spacing w:line="276" w:lineRule="auto"/>
        <w:ind w:left="567" w:hanging="567"/>
        <w:jc w:val="both"/>
        <w:rPr>
          <w:lang w:val="en-GB"/>
        </w:rPr>
      </w:pPr>
      <w:r w:rsidRPr="008A6A55">
        <w:rPr>
          <w:lang w:val="en-GB"/>
        </w:rPr>
        <w:t xml:space="preserve">Habibi, Y., Lucia, L. A., &amp; Rojas, O. J. (2010). Nanocomposites in biopolymers: Enhancing mechanical properties. </w:t>
      </w:r>
      <w:r w:rsidRPr="008A6A55">
        <w:rPr>
          <w:i/>
          <w:iCs/>
          <w:lang w:val="en-GB"/>
        </w:rPr>
        <w:t>Progress in Polymer Science, 35</w:t>
      </w:r>
      <w:r w:rsidRPr="008A6A55">
        <w:rPr>
          <w:lang w:val="en-GB"/>
        </w:rPr>
        <w:t>(12), 1502–1515.</w:t>
      </w:r>
    </w:p>
    <w:p w14:paraId="61EFC33B" w14:textId="446C9148" w:rsidR="00FD2540" w:rsidRPr="008A6A55" w:rsidRDefault="00FD2540">
      <w:pPr>
        <w:spacing w:line="276" w:lineRule="auto"/>
        <w:ind w:left="567" w:hanging="567"/>
        <w:jc w:val="both"/>
        <w:rPr>
          <w:lang w:val="en-GB"/>
        </w:rPr>
      </w:pPr>
    </w:p>
    <w:sectPr w:rsidR="00FD2540" w:rsidRPr="008A6A55">
      <w:headerReference w:type="even" r:id="rId8"/>
      <w:headerReference w:type="default" r:id="rId9"/>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1DC96F" w14:textId="77777777" w:rsidR="005B7FDB" w:rsidRDefault="005B7FDB">
      <w:r>
        <w:separator/>
      </w:r>
    </w:p>
  </w:endnote>
  <w:endnote w:type="continuationSeparator" w:id="0">
    <w:p w14:paraId="6B4FE416" w14:textId="77777777" w:rsidR="005B7FDB" w:rsidRDefault="005B7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UkrainianJournal">
    <w:altName w:val="Calibri"/>
    <w:charset w:val="00"/>
    <w:family w:val="swiss"/>
    <w:pitch w:val="default"/>
    <w:sig w:usb0="00000000" w:usb1="00000000" w:usb2="00000000" w:usb3="00000000" w:csb0="00000005"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63ED95" w14:textId="77777777" w:rsidR="005B7FDB" w:rsidRDefault="005B7FDB">
      <w:r>
        <w:separator/>
      </w:r>
    </w:p>
  </w:footnote>
  <w:footnote w:type="continuationSeparator" w:id="0">
    <w:p w14:paraId="77EA7736" w14:textId="77777777" w:rsidR="005B7FDB" w:rsidRDefault="005B7F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A883F" w14:textId="77777777" w:rsidR="00FD2540" w:rsidRDefault="00315272">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4B49CB14" w14:textId="77777777" w:rsidR="00FD2540" w:rsidRDefault="00FD254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CFA161" w14:textId="77777777" w:rsidR="00FD2540" w:rsidRDefault="00FD2540">
    <w:pPr>
      <w:pStyle w:val="Nagwek"/>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FFFFFFB"/>
    <w:lvl w:ilvl="0">
      <w:start w:val="1"/>
      <w:numFmt w:val="upperRoman"/>
      <w:pStyle w:val="Nagwek1"/>
      <w:lvlText w:val="%1."/>
      <w:legacy w:legacy="1" w:legacySpace="0" w:legacyIndent="170"/>
      <w:lvlJc w:val="left"/>
      <w:pPr>
        <w:ind w:left="170" w:hanging="170"/>
      </w:pPr>
    </w:lvl>
    <w:lvl w:ilvl="1">
      <w:start w:val="1"/>
      <w:numFmt w:val="upperLetter"/>
      <w:pStyle w:val="Nagwek2"/>
      <w:lvlText w:val="%2."/>
      <w:legacy w:legacy="1" w:legacySpace="0" w:legacyIndent="170"/>
      <w:lvlJc w:val="left"/>
      <w:pPr>
        <w:ind w:left="142" w:hanging="170"/>
      </w:pPr>
    </w:lvl>
    <w:lvl w:ilvl="2">
      <w:start w:val="1"/>
      <w:numFmt w:val="decimal"/>
      <w:pStyle w:val="Nagwek3"/>
      <w:lvlText w:val="%3."/>
      <w:legacy w:legacy="1" w:legacySpace="0" w:legacyIndent="170"/>
      <w:lvlJc w:val="left"/>
      <w:pPr>
        <w:ind w:left="142" w:hanging="170"/>
      </w:pPr>
    </w:lvl>
    <w:lvl w:ilvl="3">
      <w:start w:val="1"/>
      <w:numFmt w:val="lowerLetter"/>
      <w:pStyle w:val="Nagwek4"/>
      <w:lvlText w:val="%4)"/>
      <w:legacy w:legacy="1" w:legacySpace="0" w:legacyIndent="708"/>
      <w:lvlJc w:val="left"/>
      <w:pPr>
        <w:ind w:left="1218" w:hanging="708"/>
      </w:pPr>
    </w:lvl>
    <w:lvl w:ilvl="4">
      <w:start w:val="1"/>
      <w:numFmt w:val="decimal"/>
      <w:pStyle w:val="Nagwek5"/>
      <w:lvlText w:val="(%5)"/>
      <w:legacy w:legacy="1" w:legacySpace="0" w:legacyIndent="708"/>
      <w:lvlJc w:val="left"/>
      <w:pPr>
        <w:ind w:left="1926" w:hanging="708"/>
      </w:pPr>
    </w:lvl>
    <w:lvl w:ilvl="5">
      <w:start w:val="1"/>
      <w:numFmt w:val="lowerLetter"/>
      <w:pStyle w:val="Nagwek6"/>
      <w:lvlText w:val="(%6)"/>
      <w:legacy w:legacy="1" w:legacySpace="0" w:legacyIndent="708"/>
      <w:lvlJc w:val="left"/>
      <w:pPr>
        <w:ind w:left="2634" w:hanging="708"/>
      </w:pPr>
    </w:lvl>
    <w:lvl w:ilvl="6">
      <w:start w:val="1"/>
      <w:numFmt w:val="lowerRoman"/>
      <w:pStyle w:val="Nagwek7"/>
      <w:lvlText w:val="(%7)"/>
      <w:legacy w:legacy="1" w:legacySpace="0" w:legacyIndent="708"/>
      <w:lvlJc w:val="left"/>
      <w:pPr>
        <w:ind w:left="3342" w:hanging="708"/>
      </w:pPr>
    </w:lvl>
    <w:lvl w:ilvl="7">
      <w:start w:val="1"/>
      <w:numFmt w:val="lowerLetter"/>
      <w:pStyle w:val="Nagwek8"/>
      <w:lvlText w:val="(%8)"/>
      <w:legacy w:legacy="1" w:legacySpace="0" w:legacyIndent="708"/>
      <w:lvlJc w:val="left"/>
      <w:pPr>
        <w:ind w:left="4050" w:hanging="708"/>
      </w:pPr>
    </w:lvl>
    <w:lvl w:ilvl="8">
      <w:start w:val="1"/>
      <w:numFmt w:val="lowerRoman"/>
      <w:pStyle w:val="Nagwek9"/>
      <w:lvlText w:val="(%9)"/>
      <w:legacy w:legacy="1" w:legacySpace="0" w:legacyIndent="708"/>
      <w:lvlJc w:val="left"/>
      <w:pPr>
        <w:ind w:left="4758" w:hanging="708"/>
      </w:pPr>
    </w:lvl>
  </w:abstractNum>
  <w:abstractNum w:abstractNumId="1" w15:restartNumberingAfterBreak="0">
    <w:nsid w:val="14F22C56"/>
    <w:multiLevelType w:val="multilevel"/>
    <w:tmpl w:val="11B239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1156849"/>
    <w:multiLevelType w:val="hybridMultilevel"/>
    <w:tmpl w:val="13889132"/>
    <w:lvl w:ilvl="0" w:tplc="6E90E24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4"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5"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6" w15:restartNumberingAfterBreak="0">
    <w:nsid w:val="5BCE29BB"/>
    <w:multiLevelType w:val="hybridMultilevel"/>
    <w:tmpl w:val="60C02518"/>
    <w:lvl w:ilvl="0" w:tplc="30B4E61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16cid:durableId="960041171">
    <w:abstractNumId w:val="0"/>
  </w:num>
  <w:num w:numId="2" w16cid:durableId="367024547">
    <w:abstractNumId w:val="7"/>
  </w:num>
  <w:num w:numId="3" w16cid:durableId="589581044">
    <w:abstractNumId w:val="5"/>
  </w:num>
  <w:num w:numId="4" w16cid:durableId="1329363812">
    <w:abstractNumId w:val="3"/>
  </w:num>
  <w:num w:numId="5" w16cid:durableId="873420677">
    <w:abstractNumId w:val="4"/>
  </w:num>
  <w:num w:numId="6" w16cid:durableId="231739873">
    <w:abstractNumId w:val="2"/>
  </w:num>
  <w:num w:numId="7" w16cid:durableId="1810055994">
    <w:abstractNumId w:val="1"/>
  </w:num>
  <w:num w:numId="8" w16cid:durableId="159463177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201"/>
    <w:rsid w:val="0000007B"/>
    <w:rsid w:val="0000165C"/>
    <w:rsid w:val="000049C1"/>
    <w:rsid w:val="00005CE8"/>
    <w:rsid w:val="00014BCD"/>
    <w:rsid w:val="00016A10"/>
    <w:rsid w:val="00017168"/>
    <w:rsid w:val="000264CE"/>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37E7"/>
    <w:rsid w:val="00085D34"/>
    <w:rsid w:val="0009024C"/>
    <w:rsid w:val="00097533"/>
    <w:rsid w:val="000A2A53"/>
    <w:rsid w:val="000A316D"/>
    <w:rsid w:val="000A3AA7"/>
    <w:rsid w:val="000A5CAD"/>
    <w:rsid w:val="000B2C68"/>
    <w:rsid w:val="000B3279"/>
    <w:rsid w:val="000B3978"/>
    <w:rsid w:val="000D099A"/>
    <w:rsid w:val="000D515C"/>
    <w:rsid w:val="000E1C10"/>
    <w:rsid w:val="000E2853"/>
    <w:rsid w:val="000E3E99"/>
    <w:rsid w:val="000F0BB8"/>
    <w:rsid w:val="000F2F46"/>
    <w:rsid w:val="000F38C3"/>
    <w:rsid w:val="00101684"/>
    <w:rsid w:val="00103045"/>
    <w:rsid w:val="001034A0"/>
    <w:rsid w:val="00104C40"/>
    <w:rsid w:val="0010529B"/>
    <w:rsid w:val="001104BA"/>
    <w:rsid w:val="001141FD"/>
    <w:rsid w:val="00117726"/>
    <w:rsid w:val="0012050E"/>
    <w:rsid w:val="00125C64"/>
    <w:rsid w:val="001320A6"/>
    <w:rsid w:val="0013477B"/>
    <w:rsid w:val="00136420"/>
    <w:rsid w:val="0013654C"/>
    <w:rsid w:val="00136B6A"/>
    <w:rsid w:val="0014168B"/>
    <w:rsid w:val="00144567"/>
    <w:rsid w:val="001459CC"/>
    <w:rsid w:val="0015101E"/>
    <w:rsid w:val="00153B8C"/>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60F4"/>
    <w:rsid w:val="001D0C13"/>
    <w:rsid w:val="001D12CB"/>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B7CA9"/>
    <w:rsid w:val="002C4B95"/>
    <w:rsid w:val="002C5892"/>
    <w:rsid w:val="002D06CD"/>
    <w:rsid w:val="002D0C26"/>
    <w:rsid w:val="002D3832"/>
    <w:rsid w:val="002D5129"/>
    <w:rsid w:val="002E0000"/>
    <w:rsid w:val="002E5ADE"/>
    <w:rsid w:val="002F61CB"/>
    <w:rsid w:val="003056D9"/>
    <w:rsid w:val="00310E16"/>
    <w:rsid w:val="00313D1E"/>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F1D56"/>
    <w:rsid w:val="003F300F"/>
    <w:rsid w:val="003F45F4"/>
    <w:rsid w:val="0040020B"/>
    <w:rsid w:val="004037E5"/>
    <w:rsid w:val="00410003"/>
    <w:rsid w:val="0041407E"/>
    <w:rsid w:val="00414323"/>
    <w:rsid w:val="00416644"/>
    <w:rsid w:val="00416DA1"/>
    <w:rsid w:val="0042132D"/>
    <w:rsid w:val="00423E12"/>
    <w:rsid w:val="00430364"/>
    <w:rsid w:val="00430D1B"/>
    <w:rsid w:val="00430DB5"/>
    <w:rsid w:val="00433243"/>
    <w:rsid w:val="004358DA"/>
    <w:rsid w:val="00435B83"/>
    <w:rsid w:val="00441201"/>
    <w:rsid w:val="004425CE"/>
    <w:rsid w:val="00447BD1"/>
    <w:rsid w:val="004508A4"/>
    <w:rsid w:val="00454453"/>
    <w:rsid w:val="00462967"/>
    <w:rsid w:val="004633E1"/>
    <w:rsid w:val="00464354"/>
    <w:rsid w:val="00467FCE"/>
    <w:rsid w:val="00470461"/>
    <w:rsid w:val="004717C7"/>
    <w:rsid w:val="0047398E"/>
    <w:rsid w:val="00473A32"/>
    <w:rsid w:val="00481048"/>
    <w:rsid w:val="004911B2"/>
    <w:rsid w:val="004913BA"/>
    <w:rsid w:val="004A208C"/>
    <w:rsid w:val="004A4714"/>
    <w:rsid w:val="004A4756"/>
    <w:rsid w:val="004B7C78"/>
    <w:rsid w:val="004C0BBE"/>
    <w:rsid w:val="004C7E9B"/>
    <w:rsid w:val="004D046A"/>
    <w:rsid w:val="004D5182"/>
    <w:rsid w:val="004E1D06"/>
    <w:rsid w:val="004E6338"/>
    <w:rsid w:val="004F45FF"/>
    <w:rsid w:val="004F4F82"/>
    <w:rsid w:val="004F52A4"/>
    <w:rsid w:val="004F7C36"/>
    <w:rsid w:val="005018FA"/>
    <w:rsid w:val="00507270"/>
    <w:rsid w:val="005077D4"/>
    <w:rsid w:val="00510B82"/>
    <w:rsid w:val="005119D1"/>
    <w:rsid w:val="00513113"/>
    <w:rsid w:val="005170D6"/>
    <w:rsid w:val="00517AEE"/>
    <w:rsid w:val="00522BAE"/>
    <w:rsid w:val="00540AFB"/>
    <w:rsid w:val="00543986"/>
    <w:rsid w:val="0055158A"/>
    <w:rsid w:val="00554EC4"/>
    <w:rsid w:val="00557638"/>
    <w:rsid w:val="005630D6"/>
    <w:rsid w:val="00564D37"/>
    <w:rsid w:val="005650E1"/>
    <w:rsid w:val="00566CD8"/>
    <w:rsid w:val="005674B2"/>
    <w:rsid w:val="0057234B"/>
    <w:rsid w:val="0057288E"/>
    <w:rsid w:val="00574851"/>
    <w:rsid w:val="00574C97"/>
    <w:rsid w:val="00575C4B"/>
    <w:rsid w:val="0058355B"/>
    <w:rsid w:val="005867DD"/>
    <w:rsid w:val="005871C6"/>
    <w:rsid w:val="005924C4"/>
    <w:rsid w:val="005925B4"/>
    <w:rsid w:val="005948CB"/>
    <w:rsid w:val="00595D47"/>
    <w:rsid w:val="005A1C66"/>
    <w:rsid w:val="005A219C"/>
    <w:rsid w:val="005A616B"/>
    <w:rsid w:val="005B4704"/>
    <w:rsid w:val="005B4ABB"/>
    <w:rsid w:val="005B7FDB"/>
    <w:rsid w:val="005C50D9"/>
    <w:rsid w:val="005C51FE"/>
    <w:rsid w:val="005C684F"/>
    <w:rsid w:val="005C6C53"/>
    <w:rsid w:val="005D084F"/>
    <w:rsid w:val="005D48E5"/>
    <w:rsid w:val="005D7E50"/>
    <w:rsid w:val="005E2CC7"/>
    <w:rsid w:val="005E6F0F"/>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7284D"/>
    <w:rsid w:val="006744D0"/>
    <w:rsid w:val="00681580"/>
    <w:rsid w:val="00681597"/>
    <w:rsid w:val="00684946"/>
    <w:rsid w:val="0068782F"/>
    <w:rsid w:val="00690E96"/>
    <w:rsid w:val="006966A6"/>
    <w:rsid w:val="006A037A"/>
    <w:rsid w:val="006A378C"/>
    <w:rsid w:val="006A5351"/>
    <w:rsid w:val="006A53CD"/>
    <w:rsid w:val="006B28EA"/>
    <w:rsid w:val="006B2D32"/>
    <w:rsid w:val="006B6203"/>
    <w:rsid w:val="006B6619"/>
    <w:rsid w:val="006C36AB"/>
    <w:rsid w:val="006C74DD"/>
    <w:rsid w:val="006D2D89"/>
    <w:rsid w:val="006D69AC"/>
    <w:rsid w:val="006E1C22"/>
    <w:rsid w:val="006E43FE"/>
    <w:rsid w:val="006E4B8C"/>
    <w:rsid w:val="006E50C2"/>
    <w:rsid w:val="006E5D6A"/>
    <w:rsid w:val="006E6D1C"/>
    <w:rsid w:val="00704C57"/>
    <w:rsid w:val="007065C4"/>
    <w:rsid w:val="00714E50"/>
    <w:rsid w:val="0071647D"/>
    <w:rsid w:val="0071715C"/>
    <w:rsid w:val="00724C34"/>
    <w:rsid w:val="00726297"/>
    <w:rsid w:val="0073006F"/>
    <w:rsid w:val="00730BA6"/>
    <w:rsid w:val="007379A7"/>
    <w:rsid w:val="0074663F"/>
    <w:rsid w:val="0075205C"/>
    <w:rsid w:val="00752208"/>
    <w:rsid w:val="007536FE"/>
    <w:rsid w:val="00754928"/>
    <w:rsid w:val="00755A6A"/>
    <w:rsid w:val="00757CAC"/>
    <w:rsid w:val="00764855"/>
    <w:rsid w:val="007662AF"/>
    <w:rsid w:val="00767FB8"/>
    <w:rsid w:val="00770532"/>
    <w:rsid w:val="00773A68"/>
    <w:rsid w:val="007767AC"/>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459A"/>
    <w:rsid w:val="007F52B5"/>
    <w:rsid w:val="007F57A2"/>
    <w:rsid w:val="00803FD7"/>
    <w:rsid w:val="008115D1"/>
    <w:rsid w:val="0081270E"/>
    <w:rsid w:val="00814284"/>
    <w:rsid w:val="00814AC0"/>
    <w:rsid w:val="0082314F"/>
    <w:rsid w:val="00823952"/>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5DA9"/>
    <w:rsid w:val="008A6A55"/>
    <w:rsid w:val="008B0C1E"/>
    <w:rsid w:val="008B594C"/>
    <w:rsid w:val="008C2259"/>
    <w:rsid w:val="008C3F94"/>
    <w:rsid w:val="008C5A1B"/>
    <w:rsid w:val="008C6ABC"/>
    <w:rsid w:val="008D14AF"/>
    <w:rsid w:val="008E0B54"/>
    <w:rsid w:val="008E291B"/>
    <w:rsid w:val="008E35D6"/>
    <w:rsid w:val="008F2362"/>
    <w:rsid w:val="008F38B6"/>
    <w:rsid w:val="008F3E4B"/>
    <w:rsid w:val="008F649D"/>
    <w:rsid w:val="009006C1"/>
    <w:rsid w:val="00901A3B"/>
    <w:rsid w:val="00901F97"/>
    <w:rsid w:val="00904568"/>
    <w:rsid w:val="0091090A"/>
    <w:rsid w:val="009127BB"/>
    <w:rsid w:val="00915F88"/>
    <w:rsid w:val="0092227C"/>
    <w:rsid w:val="00924D2F"/>
    <w:rsid w:val="0092580A"/>
    <w:rsid w:val="00931EDE"/>
    <w:rsid w:val="0093408A"/>
    <w:rsid w:val="0093568D"/>
    <w:rsid w:val="009366DA"/>
    <w:rsid w:val="0094298A"/>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194E"/>
    <w:rsid w:val="00A233FA"/>
    <w:rsid w:val="00A2502D"/>
    <w:rsid w:val="00A25CD0"/>
    <w:rsid w:val="00A3002E"/>
    <w:rsid w:val="00A30A9A"/>
    <w:rsid w:val="00A31B37"/>
    <w:rsid w:val="00A33645"/>
    <w:rsid w:val="00A415D0"/>
    <w:rsid w:val="00A41EB4"/>
    <w:rsid w:val="00A50BFA"/>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79CC"/>
    <w:rsid w:val="00AE0622"/>
    <w:rsid w:val="00AE3A32"/>
    <w:rsid w:val="00AE532E"/>
    <w:rsid w:val="00AE786B"/>
    <w:rsid w:val="00AF08C3"/>
    <w:rsid w:val="00AF380A"/>
    <w:rsid w:val="00AF5FCA"/>
    <w:rsid w:val="00B00774"/>
    <w:rsid w:val="00B016C7"/>
    <w:rsid w:val="00B03246"/>
    <w:rsid w:val="00B104FD"/>
    <w:rsid w:val="00B134DD"/>
    <w:rsid w:val="00B13C25"/>
    <w:rsid w:val="00B14704"/>
    <w:rsid w:val="00B1552D"/>
    <w:rsid w:val="00B15E8D"/>
    <w:rsid w:val="00B17FA7"/>
    <w:rsid w:val="00B253B8"/>
    <w:rsid w:val="00B27051"/>
    <w:rsid w:val="00B27EF3"/>
    <w:rsid w:val="00B37B20"/>
    <w:rsid w:val="00B37FF4"/>
    <w:rsid w:val="00B414DD"/>
    <w:rsid w:val="00B47427"/>
    <w:rsid w:val="00B516DC"/>
    <w:rsid w:val="00B55869"/>
    <w:rsid w:val="00B56274"/>
    <w:rsid w:val="00B6522C"/>
    <w:rsid w:val="00B70E37"/>
    <w:rsid w:val="00B7175E"/>
    <w:rsid w:val="00B73890"/>
    <w:rsid w:val="00B759E6"/>
    <w:rsid w:val="00B75EE0"/>
    <w:rsid w:val="00B854B4"/>
    <w:rsid w:val="00B876D9"/>
    <w:rsid w:val="00B93FAA"/>
    <w:rsid w:val="00B97B74"/>
    <w:rsid w:val="00BA68B4"/>
    <w:rsid w:val="00BB4376"/>
    <w:rsid w:val="00BC2BE3"/>
    <w:rsid w:val="00BC370F"/>
    <w:rsid w:val="00BC41B9"/>
    <w:rsid w:val="00BC4E34"/>
    <w:rsid w:val="00BC5207"/>
    <w:rsid w:val="00BD301B"/>
    <w:rsid w:val="00BD31DA"/>
    <w:rsid w:val="00BE1AA4"/>
    <w:rsid w:val="00BE4342"/>
    <w:rsid w:val="00BE5054"/>
    <w:rsid w:val="00BE6FC5"/>
    <w:rsid w:val="00BF316F"/>
    <w:rsid w:val="00BF43B8"/>
    <w:rsid w:val="00BF462F"/>
    <w:rsid w:val="00BF62AB"/>
    <w:rsid w:val="00C025EA"/>
    <w:rsid w:val="00C043E0"/>
    <w:rsid w:val="00C10652"/>
    <w:rsid w:val="00C114F8"/>
    <w:rsid w:val="00C211B0"/>
    <w:rsid w:val="00C32A49"/>
    <w:rsid w:val="00C41CC5"/>
    <w:rsid w:val="00C42581"/>
    <w:rsid w:val="00C42D33"/>
    <w:rsid w:val="00C43FDD"/>
    <w:rsid w:val="00C52F95"/>
    <w:rsid w:val="00C53C02"/>
    <w:rsid w:val="00C54E08"/>
    <w:rsid w:val="00C56CE1"/>
    <w:rsid w:val="00C56DC1"/>
    <w:rsid w:val="00C6154C"/>
    <w:rsid w:val="00C6177A"/>
    <w:rsid w:val="00C66C7F"/>
    <w:rsid w:val="00C675F0"/>
    <w:rsid w:val="00C72D31"/>
    <w:rsid w:val="00C73950"/>
    <w:rsid w:val="00C746B7"/>
    <w:rsid w:val="00C80504"/>
    <w:rsid w:val="00C92FB7"/>
    <w:rsid w:val="00C93511"/>
    <w:rsid w:val="00C97793"/>
    <w:rsid w:val="00CA181E"/>
    <w:rsid w:val="00CA1AD6"/>
    <w:rsid w:val="00CA4545"/>
    <w:rsid w:val="00CA611A"/>
    <w:rsid w:val="00CB4F8E"/>
    <w:rsid w:val="00CC1912"/>
    <w:rsid w:val="00CC3CC4"/>
    <w:rsid w:val="00CC4333"/>
    <w:rsid w:val="00CC47E3"/>
    <w:rsid w:val="00CC5828"/>
    <w:rsid w:val="00CC7ED4"/>
    <w:rsid w:val="00CD037E"/>
    <w:rsid w:val="00CD25B9"/>
    <w:rsid w:val="00CD59D1"/>
    <w:rsid w:val="00CD68B7"/>
    <w:rsid w:val="00CD792A"/>
    <w:rsid w:val="00CD7DD5"/>
    <w:rsid w:val="00CE4AF2"/>
    <w:rsid w:val="00CE4DF0"/>
    <w:rsid w:val="00CF2A91"/>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230D5"/>
    <w:rsid w:val="00E24123"/>
    <w:rsid w:val="00E30541"/>
    <w:rsid w:val="00E31B4C"/>
    <w:rsid w:val="00E34CAB"/>
    <w:rsid w:val="00E415F4"/>
    <w:rsid w:val="00E42500"/>
    <w:rsid w:val="00E508BE"/>
    <w:rsid w:val="00E55AAF"/>
    <w:rsid w:val="00E572B4"/>
    <w:rsid w:val="00E576A6"/>
    <w:rsid w:val="00E57744"/>
    <w:rsid w:val="00E57C30"/>
    <w:rsid w:val="00E62AC5"/>
    <w:rsid w:val="00E646C9"/>
    <w:rsid w:val="00E707F9"/>
    <w:rsid w:val="00E74630"/>
    <w:rsid w:val="00E85E5A"/>
    <w:rsid w:val="00E864DE"/>
    <w:rsid w:val="00E917F3"/>
    <w:rsid w:val="00E93887"/>
    <w:rsid w:val="00E95A6F"/>
    <w:rsid w:val="00E96688"/>
    <w:rsid w:val="00EA0C92"/>
    <w:rsid w:val="00EA21AC"/>
    <w:rsid w:val="00EA2866"/>
    <w:rsid w:val="00EA4564"/>
    <w:rsid w:val="00EA65FE"/>
    <w:rsid w:val="00EB297F"/>
    <w:rsid w:val="00EB332B"/>
    <w:rsid w:val="00EB7A0A"/>
    <w:rsid w:val="00EB7F5C"/>
    <w:rsid w:val="00EC02D8"/>
    <w:rsid w:val="00EC3BF4"/>
    <w:rsid w:val="00EC7550"/>
    <w:rsid w:val="00ED2284"/>
    <w:rsid w:val="00ED2752"/>
    <w:rsid w:val="00ED4AAC"/>
    <w:rsid w:val="00EE623F"/>
    <w:rsid w:val="00EE7E82"/>
    <w:rsid w:val="00EF3B91"/>
    <w:rsid w:val="00F00869"/>
    <w:rsid w:val="00F12518"/>
    <w:rsid w:val="00F126E1"/>
    <w:rsid w:val="00F21190"/>
    <w:rsid w:val="00F27315"/>
    <w:rsid w:val="00F37DD1"/>
    <w:rsid w:val="00F435B5"/>
    <w:rsid w:val="00F45148"/>
    <w:rsid w:val="00F45898"/>
    <w:rsid w:val="00F53B61"/>
    <w:rsid w:val="00F57A7D"/>
    <w:rsid w:val="00F603D6"/>
    <w:rsid w:val="00F64336"/>
    <w:rsid w:val="00F66EC4"/>
    <w:rsid w:val="00F70947"/>
    <w:rsid w:val="00F80791"/>
    <w:rsid w:val="00F8268B"/>
    <w:rsid w:val="00F84B45"/>
    <w:rsid w:val="00F85254"/>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15AE"/>
    <w:rsid w:val="00FC4010"/>
    <w:rsid w:val="00FC4ABB"/>
    <w:rsid w:val="00FD2540"/>
    <w:rsid w:val="00FD2978"/>
    <w:rsid w:val="00FD3B2B"/>
    <w:rsid w:val="00FD4A72"/>
    <w:rsid w:val="00FE0E3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368E9C"/>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qFormat="1"/>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lang w:eastAsia="en-US"/>
    </w:rPr>
  </w:style>
  <w:style w:type="paragraph" w:styleId="Nagwek1">
    <w:name w:val="heading 1"/>
    <w:basedOn w:val="Normalny"/>
    <w:next w:val="Normalny"/>
    <w:qFormat/>
    <w:pPr>
      <w:keepNext/>
      <w:numPr>
        <w:numId w:val="1"/>
      </w:numPr>
      <w:tabs>
        <w:tab w:val="left" w:pos="198"/>
      </w:tabs>
      <w:spacing w:before="240" w:after="60"/>
      <w:jc w:val="center"/>
      <w:outlineLvl w:val="0"/>
    </w:pPr>
    <w:rPr>
      <w:rFonts w:ascii="Arial" w:hAnsi="Arial"/>
      <w:kern w:val="28"/>
      <w:szCs w:val="20"/>
    </w:rPr>
  </w:style>
  <w:style w:type="paragraph" w:styleId="Nagwek2">
    <w:name w:val="heading 2"/>
    <w:basedOn w:val="Normalny"/>
    <w:next w:val="Normalny"/>
    <w:qFormat/>
    <w:pPr>
      <w:keepNext/>
      <w:numPr>
        <w:ilvl w:val="1"/>
        <w:numId w:val="1"/>
      </w:numPr>
      <w:tabs>
        <w:tab w:val="left" w:pos="198"/>
      </w:tabs>
      <w:spacing w:before="120" w:after="60"/>
      <w:jc w:val="both"/>
      <w:outlineLvl w:val="1"/>
    </w:pPr>
    <w:rPr>
      <w:rFonts w:ascii="Arial" w:hAnsi="Arial"/>
      <w:i/>
      <w:sz w:val="22"/>
      <w:szCs w:val="20"/>
    </w:rPr>
  </w:style>
  <w:style w:type="paragraph" w:styleId="Nagwek3">
    <w:name w:val="heading 3"/>
    <w:basedOn w:val="Normalny"/>
    <w:next w:val="Normalny"/>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Nagwek4">
    <w:name w:val="heading 4"/>
    <w:basedOn w:val="Normalny"/>
    <w:next w:val="Normalny"/>
    <w:qFormat/>
    <w:pPr>
      <w:keepNext/>
      <w:numPr>
        <w:ilvl w:val="3"/>
        <w:numId w:val="1"/>
      </w:numPr>
      <w:tabs>
        <w:tab w:val="left" w:pos="198"/>
      </w:tabs>
      <w:spacing w:before="240" w:after="60"/>
      <w:jc w:val="both"/>
      <w:outlineLvl w:val="3"/>
    </w:pPr>
    <w:rPr>
      <w:rFonts w:ascii="Arial" w:hAnsi="Arial"/>
      <w:b/>
      <w:szCs w:val="20"/>
      <w:lang w:val="en-GB"/>
    </w:rPr>
  </w:style>
  <w:style w:type="paragraph" w:styleId="Nagwek5">
    <w:name w:val="heading 5"/>
    <w:basedOn w:val="Normalny"/>
    <w:next w:val="Normalny"/>
    <w:qFormat/>
    <w:pPr>
      <w:numPr>
        <w:ilvl w:val="4"/>
        <w:numId w:val="1"/>
      </w:numPr>
      <w:tabs>
        <w:tab w:val="left" w:pos="198"/>
      </w:tabs>
      <w:spacing w:before="240" w:after="60"/>
      <w:jc w:val="both"/>
      <w:outlineLvl w:val="4"/>
    </w:pPr>
    <w:rPr>
      <w:rFonts w:ascii="Arial" w:hAnsi="Arial"/>
      <w:sz w:val="22"/>
      <w:szCs w:val="20"/>
      <w:lang w:val="en-GB"/>
    </w:rPr>
  </w:style>
  <w:style w:type="paragraph" w:styleId="Nagwek6">
    <w:name w:val="heading 6"/>
    <w:basedOn w:val="Normalny"/>
    <w:next w:val="Normalny"/>
    <w:qFormat/>
    <w:pPr>
      <w:numPr>
        <w:ilvl w:val="5"/>
        <w:numId w:val="1"/>
      </w:numPr>
      <w:tabs>
        <w:tab w:val="left" w:pos="198"/>
      </w:tabs>
      <w:spacing w:before="240" w:after="60"/>
      <w:jc w:val="both"/>
      <w:outlineLvl w:val="5"/>
    </w:pPr>
    <w:rPr>
      <w:i/>
      <w:sz w:val="22"/>
      <w:szCs w:val="20"/>
      <w:lang w:val="en-GB"/>
    </w:rPr>
  </w:style>
  <w:style w:type="paragraph" w:styleId="Nagwek7">
    <w:name w:val="heading 7"/>
    <w:basedOn w:val="Normalny"/>
    <w:next w:val="Normalny"/>
    <w:qFormat/>
    <w:pPr>
      <w:numPr>
        <w:ilvl w:val="6"/>
        <w:numId w:val="1"/>
      </w:numPr>
      <w:tabs>
        <w:tab w:val="left" w:pos="198"/>
      </w:tabs>
      <w:spacing w:before="240" w:after="60"/>
      <w:jc w:val="both"/>
      <w:outlineLvl w:val="6"/>
    </w:pPr>
    <w:rPr>
      <w:rFonts w:ascii="Arial" w:hAnsi="Arial"/>
      <w:sz w:val="20"/>
      <w:szCs w:val="20"/>
      <w:lang w:val="en-GB"/>
    </w:rPr>
  </w:style>
  <w:style w:type="paragraph" w:styleId="Nagwek8">
    <w:name w:val="heading 8"/>
    <w:basedOn w:val="Normalny"/>
    <w:next w:val="Normalny"/>
    <w:qFormat/>
    <w:pPr>
      <w:numPr>
        <w:ilvl w:val="7"/>
        <w:numId w:val="1"/>
      </w:numPr>
      <w:tabs>
        <w:tab w:val="left" w:pos="198"/>
      </w:tabs>
      <w:spacing w:before="240" w:after="60"/>
      <w:jc w:val="both"/>
      <w:outlineLvl w:val="7"/>
    </w:pPr>
    <w:rPr>
      <w:rFonts w:ascii="Arial" w:hAnsi="Arial"/>
      <w:i/>
      <w:sz w:val="20"/>
      <w:szCs w:val="20"/>
      <w:lang w:val="en-GB"/>
    </w:rPr>
  </w:style>
  <w:style w:type="paragraph" w:styleId="Nagwek9">
    <w:name w:val="heading 9"/>
    <w:basedOn w:val="Normalny"/>
    <w:next w:val="Normalny"/>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qFormat/>
    <w:pPr>
      <w:spacing w:after="120"/>
    </w:pPr>
  </w:style>
  <w:style w:type="paragraph" w:styleId="Tekstpodstawowy2">
    <w:name w:val="Body Text 2"/>
    <w:basedOn w:val="Normalny"/>
    <w:qFormat/>
    <w:pPr>
      <w:spacing w:after="120" w:line="480" w:lineRule="auto"/>
    </w:pPr>
  </w:style>
  <w:style w:type="paragraph" w:styleId="Tekstpodstawowywcity">
    <w:name w:val="Body Text Indent"/>
    <w:basedOn w:val="Normalny"/>
    <w:qFormat/>
    <w:pPr>
      <w:tabs>
        <w:tab w:val="left" w:pos="198"/>
      </w:tabs>
      <w:autoSpaceDE w:val="0"/>
      <w:autoSpaceDN w:val="0"/>
      <w:jc w:val="both"/>
    </w:pPr>
    <w:rPr>
      <w:sz w:val="20"/>
      <w:szCs w:val="20"/>
      <w:lang w:val="en-US" w:eastAsia="ru-RU"/>
    </w:rPr>
  </w:style>
  <w:style w:type="paragraph" w:styleId="Tekstpodstawowywcity2">
    <w:name w:val="Body Text Indent 2"/>
    <w:basedOn w:val="Normalny"/>
    <w:qFormat/>
    <w:pPr>
      <w:tabs>
        <w:tab w:val="left" w:pos="198"/>
      </w:tabs>
      <w:spacing w:after="120" w:line="480" w:lineRule="auto"/>
      <w:ind w:left="283" w:firstLine="170"/>
      <w:jc w:val="both"/>
    </w:pPr>
    <w:rPr>
      <w:sz w:val="20"/>
      <w:szCs w:val="20"/>
      <w:lang w:val="en-GB"/>
    </w:rPr>
  </w:style>
  <w:style w:type="paragraph" w:styleId="Tekstpodstawowywcity3">
    <w:name w:val="Body Text Indent 3"/>
    <w:basedOn w:val="Normalny"/>
    <w:qFormat/>
    <w:pPr>
      <w:spacing w:after="120"/>
      <w:ind w:left="283"/>
    </w:pPr>
    <w:rPr>
      <w:sz w:val="16"/>
      <w:szCs w:val="16"/>
    </w:rPr>
  </w:style>
  <w:style w:type="paragraph" w:styleId="Stopka">
    <w:name w:val="footer"/>
    <w:basedOn w:val="Normalny"/>
    <w:link w:val="StopkaZnak"/>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Tekstprzypisudolnego">
    <w:name w:val="footnote text"/>
    <w:basedOn w:val="Normalny"/>
    <w:semiHidden/>
    <w:qFormat/>
    <w:pPr>
      <w:tabs>
        <w:tab w:val="left" w:pos="198"/>
      </w:tabs>
      <w:ind w:firstLine="198"/>
      <w:jc w:val="both"/>
    </w:pPr>
    <w:rPr>
      <w:sz w:val="16"/>
      <w:szCs w:val="20"/>
    </w:rPr>
  </w:style>
  <w:style w:type="paragraph" w:styleId="Nagwek">
    <w:name w:val="header"/>
    <w:basedOn w:val="Normalny"/>
    <w:qFormat/>
    <w:pPr>
      <w:tabs>
        <w:tab w:val="center" w:pos="4986"/>
        <w:tab w:val="right" w:pos="9973"/>
      </w:tabs>
    </w:pPr>
  </w:style>
  <w:style w:type="character" w:styleId="Hipercze">
    <w:name w:val="Hyperlink"/>
    <w:qFormat/>
    <w:rPr>
      <w:color w:val="0000FF"/>
      <w:u w:val="single"/>
    </w:rPr>
  </w:style>
  <w:style w:type="paragraph" w:styleId="NormalnyWeb">
    <w:name w:val="Normal (Web)"/>
    <w:basedOn w:val="Normalny"/>
    <w:qFormat/>
    <w:pPr>
      <w:spacing w:before="100" w:beforeAutospacing="1" w:after="100" w:afterAutospacing="1"/>
    </w:pPr>
    <w:rPr>
      <w:lang w:val="en-US"/>
    </w:rPr>
  </w:style>
  <w:style w:type="character" w:styleId="Numerstrony">
    <w:name w:val="page number"/>
    <w:basedOn w:val="Domylnaczcionkaakapitu"/>
    <w:qFormat/>
  </w:style>
  <w:style w:type="character" w:styleId="Pogrubienie">
    <w:name w:val="Strong"/>
    <w:uiPriority w:val="22"/>
    <w:qFormat/>
    <w:rPr>
      <w:b/>
      <w:bCs/>
    </w:rPr>
  </w:style>
  <w:style w:type="table" w:styleId="Tabela-Siatka">
    <w:name w:val="Table Grid"/>
    <w:basedOn w:val="Standardowy"/>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Normalny"/>
    <w:qFormat/>
    <w:pPr>
      <w:tabs>
        <w:tab w:val="left" w:pos="198"/>
      </w:tabs>
      <w:spacing w:after="120"/>
      <w:jc w:val="center"/>
    </w:pPr>
    <w:rPr>
      <w:szCs w:val="20"/>
    </w:rPr>
  </w:style>
  <w:style w:type="paragraph" w:customStyle="1" w:styleId="MainTitle">
    <w:name w:val="Main Title"/>
    <w:basedOn w:val="Normalny"/>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Normalny"/>
    <w:qFormat/>
    <w:pPr>
      <w:tabs>
        <w:tab w:val="left" w:pos="-1276"/>
        <w:tab w:val="left" w:pos="198"/>
      </w:tabs>
      <w:ind w:firstLine="142"/>
      <w:jc w:val="both"/>
    </w:pPr>
    <w:rPr>
      <w:b/>
      <w:i/>
      <w:sz w:val="18"/>
      <w:szCs w:val="20"/>
    </w:rPr>
  </w:style>
  <w:style w:type="paragraph" w:customStyle="1" w:styleId="IndexTerms">
    <w:name w:val="Index Terms"/>
    <w:basedOn w:val="Normalny"/>
    <w:link w:val="IndexTerms0"/>
    <w:qFormat/>
    <w:pPr>
      <w:tabs>
        <w:tab w:val="left" w:pos="198"/>
      </w:tabs>
      <w:spacing w:after="120"/>
      <w:ind w:firstLine="142"/>
      <w:jc w:val="both"/>
    </w:pPr>
    <w:rPr>
      <w:sz w:val="18"/>
      <w:szCs w:val="20"/>
    </w:rPr>
  </w:style>
  <w:style w:type="paragraph" w:customStyle="1" w:styleId="Figure">
    <w:name w:val="Figure"/>
    <w:basedOn w:val="Normalny"/>
    <w:qFormat/>
    <w:pPr>
      <w:keepNext/>
      <w:spacing w:before="120" w:line="264" w:lineRule="auto"/>
      <w:jc w:val="center"/>
    </w:pPr>
    <w:rPr>
      <w:b/>
      <w:szCs w:val="20"/>
    </w:rPr>
  </w:style>
  <w:style w:type="paragraph" w:customStyle="1" w:styleId="a">
    <w:name w:val="подпись к картинке"/>
    <w:basedOn w:val="Normalny"/>
    <w:link w:val="a0"/>
    <w:qFormat/>
    <w:pPr>
      <w:jc w:val="center"/>
    </w:pPr>
    <w:rPr>
      <w:sz w:val="18"/>
      <w:szCs w:val="18"/>
      <w:lang w:val="ru-RU" w:eastAsia="uk-UA"/>
    </w:rPr>
  </w:style>
  <w:style w:type="character" w:customStyle="1" w:styleId="a0">
    <w:name w:val="подпись к картинке Знак"/>
    <w:link w:val="a"/>
    <w:qFormat/>
    <w:rPr>
      <w:sz w:val="18"/>
      <w:szCs w:val="18"/>
      <w:lang w:val="ru-RU" w:eastAsia="uk-UA" w:bidi="ar-SA"/>
    </w:rPr>
  </w:style>
  <w:style w:type="paragraph" w:customStyle="1" w:styleId="list10pt">
    <w:name w:val="Стиль list + 10 pt"/>
    <w:basedOn w:val="Normalny"/>
    <w:qFormat/>
    <w:pPr>
      <w:numPr>
        <w:numId w:val="2"/>
      </w:numPr>
      <w:jc w:val="both"/>
    </w:pPr>
    <w:rPr>
      <w:sz w:val="20"/>
      <w:szCs w:val="28"/>
      <w:lang w:val="ru-RU" w:eastAsia="uk-UA"/>
    </w:rPr>
  </w:style>
  <w:style w:type="paragraph" w:customStyle="1" w:styleId="list10pt1">
    <w:name w:val="Стиль list + 10 pt1"/>
    <w:basedOn w:val="Normalny"/>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Normalny"/>
    <w:qFormat/>
    <w:pPr>
      <w:spacing w:line="288" w:lineRule="auto"/>
      <w:ind w:firstLine="720"/>
      <w:jc w:val="both"/>
    </w:pPr>
    <w:rPr>
      <w:sz w:val="20"/>
      <w:szCs w:val="20"/>
      <w:lang w:val="ru-RU"/>
    </w:rPr>
  </w:style>
  <w:style w:type="paragraph" w:customStyle="1" w:styleId="CSIT-List">
    <w:name w:val="CSIT-List"/>
    <w:basedOn w:val="Normalny"/>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Normalny"/>
    <w:qFormat/>
    <w:pPr>
      <w:tabs>
        <w:tab w:val="left" w:pos="198"/>
        <w:tab w:val="center" w:pos="2410"/>
        <w:tab w:val="right" w:pos="4962"/>
      </w:tabs>
      <w:ind w:firstLine="170"/>
      <w:jc w:val="both"/>
    </w:pPr>
    <w:rPr>
      <w:sz w:val="20"/>
      <w:szCs w:val="20"/>
    </w:rPr>
  </w:style>
  <w:style w:type="paragraph" w:customStyle="1" w:styleId="ETytle">
    <w:name w:val="E. Tytle"/>
    <w:basedOn w:val="Normalny"/>
    <w:qFormat/>
    <w:pPr>
      <w:tabs>
        <w:tab w:val="left" w:pos="198"/>
      </w:tabs>
      <w:spacing w:after="120"/>
      <w:ind w:firstLine="170"/>
      <w:jc w:val="center"/>
    </w:pPr>
    <w:rPr>
      <w:b/>
      <w:smallCaps/>
      <w:szCs w:val="20"/>
      <w:lang w:val="en-US"/>
    </w:rPr>
  </w:style>
  <w:style w:type="paragraph" w:customStyle="1" w:styleId="Text">
    <w:name w:val="Text"/>
    <w:basedOn w:val="Normalny"/>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Normalny"/>
    <w:qFormat/>
    <w:pPr>
      <w:tabs>
        <w:tab w:val="left" w:pos="198"/>
      </w:tabs>
      <w:ind w:left="284" w:hanging="284"/>
      <w:jc w:val="both"/>
    </w:pPr>
    <w:rPr>
      <w:sz w:val="20"/>
      <w:szCs w:val="20"/>
      <w:lang w:val="en-GB"/>
    </w:rPr>
  </w:style>
  <w:style w:type="paragraph" w:customStyle="1" w:styleId="1">
    <w:name w:val="Стиль1"/>
    <w:basedOn w:val="Normalny"/>
    <w:qFormat/>
    <w:pPr>
      <w:tabs>
        <w:tab w:val="left" w:pos="198"/>
      </w:tabs>
      <w:spacing w:before="60" w:after="60"/>
      <w:ind w:firstLine="170"/>
      <w:jc w:val="center"/>
    </w:pPr>
    <w:rPr>
      <w:smallCaps/>
      <w:sz w:val="18"/>
      <w:szCs w:val="20"/>
    </w:rPr>
  </w:style>
  <w:style w:type="paragraph" w:customStyle="1" w:styleId="10">
    <w:name w:val="Бібліографія1"/>
    <w:basedOn w:val="Normalny"/>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Domylnaczcionkaakapitu"/>
    <w:qFormat/>
  </w:style>
  <w:style w:type="character" w:customStyle="1" w:styleId="apple-converted-space">
    <w:name w:val="apple-converted-space"/>
    <w:basedOn w:val="Domylnaczcionkaakapitu"/>
    <w:qFormat/>
  </w:style>
  <w:style w:type="paragraph" w:customStyle="1" w:styleId="Literature">
    <w:name w:val="Literature"/>
    <w:basedOn w:val="Normalny"/>
    <w:qFormat/>
    <w:pPr>
      <w:numPr>
        <w:numId w:val="5"/>
      </w:numPr>
      <w:spacing w:line="360" w:lineRule="auto"/>
      <w:jc w:val="both"/>
    </w:pPr>
    <w:rPr>
      <w:sz w:val="28"/>
      <w:szCs w:val="20"/>
      <w:lang w:eastAsia="uk-UA"/>
    </w:rPr>
  </w:style>
  <w:style w:type="character" w:customStyle="1" w:styleId="Nierozpoznanawzmianka1">
    <w:name w:val="Nierozpoznana wzmianka1"/>
    <w:uiPriority w:val="99"/>
    <w:semiHidden/>
    <w:unhideWhenUsed/>
    <w:rPr>
      <w:color w:val="605E5C"/>
      <w:shd w:val="clear" w:color="auto" w:fill="E1DFDD"/>
    </w:rPr>
  </w:style>
  <w:style w:type="character" w:customStyle="1" w:styleId="StopkaZnak">
    <w:name w:val="Stopka Znak"/>
    <w:link w:val="Stopka"/>
    <w:uiPriority w:val="99"/>
    <w:rPr>
      <w:lang w:eastAsia="uk-UA"/>
    </w:rPr>
  </w:style>
  <w:style w:type="character" w:styleId="Nierozpoznanawzmianka">
    <w:name w:val="Unresolved Mention"/>
    <w:basedOn w:val="Domylnaczcionkaakapitu"/>
    <w:uiPriority w:val="99"/>
    <w:semiHidden/>
    <w:unhideWhenUsed/>
    <w:rsid w:val="00ED4AAC"/>
    <w:rPr>
      <w:color w:val="605E5C"/>
      <w:shd w:val="clear" w:color="auto" w:fill="E1DFDD"/>
    </w:rPr>
  </w:style>
  <w:style w:type="paragraph" w:styleId="Akapitzlist">
    <w:name w:val="List Paragraph"/>
    <w:basedOn w:val="Normalny"/>
    <w:uiPriority w:val="99"/>
    <w:rsid w:val="00ED4A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38388">
      <w:bodyDiv w:val="1"/>
      <w:marLeft w:val="0"/>
      <w:marRight w:val="0"/>
      <w:marTop w:val="0"/>
      <w:marBottom w:val="0"/>
      <w:divBdr>
        <w:top w:val="none" w:sz="0" w:space="0" w:color="auto"/>
        <w:left w:val="none" w:sz="0" w:space="0" w:color="auto"/>
        <w:bottom w:val="none" w:sz="0" w:space="0" w:color="auto"/>
        <w:right w:val="none" w:sz="0" w:space="0" w:color="auto"/>
      </w:divBdr>
    </w:div>
    <w:div w:id="154221844">
      <w:bodyDiv w:val="1"/>
      <w:marLeft w:val="0"/>
      <w:marRight w:val="0"/>
      <w:marTop w:val="0"/>
      <w:marBottom w:val="0"/>
      <w:divBdr>
        <w:top w:val="none" w:sz="0" w:space="0" w:color="auto"/>
        <w:left w:val="none" w:sz="0" w:space="0" w:color="auto"/>
        <w:bottom w:val="none" w:sz="0" w:space="0" w:color="auto"/>
        <w:right w:val="none" w:sz="0" w:space="0" w:color="auto"/>
      </w:divBdr>
    </w:div>
    <w:div w:id="165871901">
      <w:bodyDiv w:val="1"/>
      <w:marLeft w:val="0"/>
      <w:marRight w:val="0"/>
      <w:marTop w:val="0"/>
      <w:marBottom w:val="0"/>
      <w:divBdr>
        <w:top w:val="none" w:sz="0" w:space="0" w:color="auto"/>
        <w:left w:val="none" w:sz="0" w:space="0" w:color="auto"/>
        <w:bottom w:val="none" w:sz="0" w:space="0" w:color="auto"/>
        <w:right w:val="none" w:sz="0" w:space="0" w:color="auto"/>
      </w:divBdr>
    </w:div>
    <w:div w:id="202720167">
      <w:bodyDiv w:val="1"/>
      <w:marLeft w:val="0"/>
      <w:marRight w:val="0"/>
      <w:marTop w:val="0"/>
      <w:marBottom w:val="0"/>
      <w:divBdr>
        <w:top w:val="none" w:sz="0" w:space="0" w:color="auto"/>
        <w:left w:val="none" w:sz="0" w:space="0" w:color="auto"/>
        <w:bottom w:val="none" w:sz="0" w:space="0" w:color="auto"/>
        <w:right w:val="none" w:sz="0" w:space="0" w:color="auto"/>
      </w:divBdr>
    </w:div>
    <w:div w:id="213927801">
      <w:bodyDiv w:val="1"/>
      <w:marLeft w:val="0"/>
      <w:marRight w:val="0"/>
      <w:marTop w:val="0"/>
      <w:marBottom w:val="0"/>
      <w:divBdr>
        <w:top w:val="none" w:sz="0" w:space="0" w:color="auto"/>
        <w:left w:val="none" w:sz="0" w:space="0" w:color="auto"/>
        <w:bottom w:val="none" w:sz="0" w:space="0" w:color="auto"/>
        <w:right w:val="none" w:sz="0" w:space="0" w:color="auto"/>
      </w:divBdr>
    </w:div>
    <w:div w:id="314188798">
      <w:bodyDiv w:val="1"/>
      <w:marLeft w:val="0"/>
      <w:marRight w:val="0"/>
      <w:marTop w:val="0"/>
      <w:marBottom w:val="0"/>
      <w:divBdr>
        <w:top w:val="none" w:sz="0" w:space="0" w:color="auto"/>
        <w:left w:val="none" w:sz="0" w:space="0" w:color="auto"/>
        <w:bottom w:val="none" w:sz="0" w:space="0" w:color="auto"/>
        <w:right w:val="none" w:sz="0" w:space="0" w:color="auto"/>
      </w:divBdr>
    </w:div>
    <w:div w:id="397674724">
      <w:bodyDiv w:val="1"/>
      <w:marLeft w:val="0"/>
      <w:marRight w:val="0"/>
      <w:marTop w:val="0"/>
      <w:marBottom w:val="0"/>
      <w:divBdr>
        <w:top w:val="none" w:sz="0" w:space="0" w:color="auto"/>
        <w:left w:val="none" w:sz="0" w:space="0" w:color="auto"/>
        <w:bottom w:val="none" w:sz="0" w:space="0" w:color="auto"/>
        <w:right w:val="none" w:sz="0" w:space="0" w:color="auto"/>
      </w:divBdr>
    </w:div>
    <w:div w:id="437678281">
      <w:bodyDiv w:val="1"/>
      <w:marLeft w:val="0"/>
      <w:marRight w:val="0"/>
      <w:marTop w:val="0"/>
      <w:marBottom w:val="0"/>
      <w:divBdr>
        <w:top w:val="none" w:sz="0" w:space="0" w:color="auto"/>
        <w:left w:val="none" w:sz="0" w:space="0" w:color="auto"/>
        <w:bottom w:val="none" w:sz="0" w:space="0" w:color="auto"/>
        <w:right w:val="none" w:sz="0" w:space="0" w:color="auto"/>
      </w:divBdr>
    </w:div>
    <w:div w:id="487794970">
      <w:bodyDiv w:val="1"/>
      <w:marLeft w:val="0"/>
      <w:marRight w:val="0"/>
      <w:marTop w:val="0"/>
      <w:marBottom w:val="0"/>
      <w:divBdr>
        <w:top w:val="none" w:sz="0" w:space="0" w:color="auto"/>
        <w:left w:val="none" w:sz="0" w:space="0" w:color="auto"/>
        <w:bottom w:val="none" w:sz="0" w:space="0" w:color="auto"/>
        <w:right w:val="none" w:sz="0" w:space="0" w:color="auto"/>
      </w:divBdr>
    </w:div>
    <w:div w:id="519398382">
      <w:bodyDiv w:val="1"/>
      <w:marLeft w:val="0"/>
      <w:marRight w:val="0"/>
      <w:marTop w:val="0"/>
      <w:marBottom w:val="0"/>
      <w:divBdr>
        <w:top w:val="none" w:sz="0" w:space="0" w:color="auto"/>
        <w:left w:val="none" w:sz="0" w:space="0" w:color="auto"/>
        <w:bottom w:val="none" w:sz="0" w:space="0" w:color="auto"/>
        <w:right w:val="none" w:sz="0" w:space="0" w:color="auto"/>
      </w:divBdr>
    </w:div>
    <w:div w:id="546533775">
      <w:bodyDiv w:val="1"/>
      <w:marLeft w:val="0"/>
      <w:marRight w:val="0"/>
      <w:marTop w:val="0"/>
      <w:marBottom w:val="0"/>
      <w:divBdr>
        <w:top w:val="none" w:sz="0" w:space="0" w:color="auto"/>
        <w:left w:val="none" w:sz="0" w:space="0" w:color="auto"/>
        <w:bottom w:val="none" w:sz="0" w:space="0" w:color="auto"/>
        <w:right w:val="none" w:sz="0" w:space="0" w:color="auto"/>
      </w:divBdr>
    </w:div>
    <w:div w:id="705178298">
      <w:bodyDiv w:val="1"/>
      <w:marLeft w:val="0"/>
      <w:marRight w:val="0"/>
      <w:marTop w:val="0"/>
      <w:marBottom w:val="0"/>
      <w:divBdr>
        <w:top w:val="none" w:sz="0" w:space="0" w:color="auto"/>
        <w:left w:val="none" w:sz="0" w:space="0" w:color="auto"/>
        <w:bottom w:val="none" w:sz="0" w:space="0" w:color="auto"/>
        <w:right w:val="none" w:sz="0" w:space="0" w:color="auto"/>
      </w:divBdr>
    </w:div>
    <w:div w:id="718670437">
      <w:bodyDiv w:val="1"/>
      <w:marLeft w:val="0"/>
      <w:marRight w:val="0"/>
      <w:marTop w:val="0"/>
      <w:marBottom w:val="0"/>
      <w:divBdr>
        <w:top w:val="none" w:sz="0" w:space="0" w:color="auto"/>
        <w:left w:val="none" w:sz="0" w:space="0" w:color="auto"/>
        <w:bottom w:val="none" w:sz="0" w:space="0" w:color="auto"/>
        <w:right w:val="none" w:sz="0" w:space="0" w:color="auto"/>
      </w:divBdr>
    </w:div>
    <w:div w:id="926960595">
      <w:bodyDiv w:val="1"/>
      <w:marLeft w:val="0"/>
      <w:marRight w:val="0"/>
      <w:marTop w:val="0"/>
      <w:marBottom w:val="0"/>
      <w:divBdr>
        <w:top w:val="none" w:sz="0" w:space="0" w:color="auto"/>
        <w:left w:val="none" w:sz="0" w:space="0" w:color="auto"/>
        <w:bottom w:val="none" w:sz="0" w:space="0" w:color="auto"/>
        <w:right w:val="none" w:sz="0" w:space="0" w:color="auto"/>
      </w:divBdr>
    </w:div>
    <w:div w:id="1045056342">
      <w:bodyDiv w:val="1"/>
      <w:marLeft w:val="0"/>
      <w:marRight w:val="0"/>
      <w:marTop w:val="0"/>
      <w:marBottom w:val="0"/>
      <w:divBdr>
        <w:top w:val="none" w:sz="0" w:space="0" w:color="auto"/>
        <w:left w:val="none" w:sz="0" w:space="0" w:color="auto"/>
        <w:bottom w:val="none" w:sz="0" w:space="0" w:color="auto"/>
        <w:right w:val="none" w:sz="0" w:space="0" w:color="auto"/>
      </w:divBdr>
    </w:div>
    <w:div w:id="1055737326">
      <w:bodyDiv w:val="1"/>
      <w:marLeft w:val="0"/>
      <w:marRight w:val="0"/>
      <w:marTop w:val="0"/>
      <w:marBottom w:val="0"/>
      <w:divBdr>
        <w:top w:val="none" w:sz="0" w:space="0" w:color="auto"/>
        <w:left w:val="none" w:sz="0" w:space="0" w:color="auto"/>
        <w:bottom w:val="none" w:sz="0" w:space="0" w:color="auto"/>
        <w:right w:val="none" w:sz="0" w:space="0" w:color="auto"/>
      </w:divBdr>
    </w:div>
    <w:div w:id="1150631041">
      <w:bodyDiv w:val="1"/>
      <w:marLeft w:val="0"/>
      <w:marRight w:val="0"/>
      <w:marTop w:val="0"/>
      <w:marBottom w:val="0"/>
      <w:divBdr>
        <w:top w:val="none" w:sz="0" w:space="0" w:color="auto"/>
        <w:left w:val="none" w:sz="0" w:space="0" w:color="auto"/>
        <w:bottom w:val="none" w:sz="0" w:space="0" w:color="auto"/>
        <w:right w:val="none" w:sz="0" w:space="0" w:color="auto"/>
      </w:divBdr>
    </w:div>
    <w:div w:id="1296983643">
      <w:bodyDiv w:val="1"/>
      <w:marLeft w:val="0"/>
      <w:marRight w:val="0"/>
      <w:marTop w:val="0"/>
      <w:marBottom w:val="0"/>
      <w:divBdr>
        <w:top w:val="none" w:sz="0" w:space="0" w:color="auto"/>
        <w:left w:val="none" w:sz="0" w:space="0" w:color="auto"/>
        <w:bottom w:val="none" w:sz="0" w:space="0" w:color="auto"/>
        <w:right w:val="none" w:sz="0" w:space="0" w:color="auto"/>
      </w:divBdr>
    </w:div>
    <w:div w:id="1469277786">
      <w:bodyDiv w:val="1"/>
      <w:marLeft w:val="0"/>
      <w:marRight w:val="0"/>
      <w:marTop w:val="0"/>
      <w:marBottom w:val="0"/>
      <w:divBdr>
        <w:top w:val="none" w:sz="0" w:space="0" w:color="auto"/>
        <w:left w:val="none" w:sz="0" w:space="0" w:color="auto"/>
        <w:bottom w:val="none" w:sz="0" w:space="0" w:color="auto"/>
        <w:right w:val="none" w:sz="0" w:space="0" w:color="auto"/>
      </w:divBdr>
    </w:div>
    <w:div w:id="1630236286">
      <w:bodyDiv w:val="1"/>
      <w:marLeft w:val="0"/>
      <w:marRight w:val="0"/>
      <w:marTop w:val="0"/>
      <w:marBottom w:val="0"/>
      <w:divBdr>
        <w:top w:val="none" w:sz="0" w:space="0" w:color="auto"/>
        <w:left w:val="none" w:sz="0" w:space="0" w:color="auto"/>
        <w:bottom w:val="none" w:sz="0" w:space="0" w:color="auto"/>
        <w:right w:val="none" w:sz="0" w:space="0" w:color="auto"/>
      </w:divBdr>
      <w:divsChild>
        <w:div w:id="92749444">
          <w:marLeft w:val="0"/>
          <w:marRight w:val="0"/>
          <w:marTop w:val="0"/>
          <w:marBottom w:val="0"/>
          <w:divBdr>
            <w:top w:val="none" w:sz="0" w:space="0" w:color="auto"/>
            <w:left w:val="none" w:sz="0" w:space="0" w:color="auto"/>
            <w:bottom w:val="none" w:sz="0" w:space="0" w:color="auto"/>
            <w:right w:val="none" w:sz="0" w:space="0" w:color="auto"/>
          </w:divBdr>
        </w:div>
      </w:divsChild>
    </w:div>
    <w:div w:id="1635940010">
      <w:bodyDiv w:val="1"/>
      <w:marLeft w:val="0"/>
      <w:marRight w:val="0"/>
      <w:marTop w:val="0"/>
      <w:marBottom w:val="0"/>
      <w:divBdr>
        <w:top w:val="none" w:sz="0" w:space="0" w:color="auto"/>
        <w:left w:val="none" w:sz="0" w:space="0" w:color="auto"/>
        <w:bottom w:val="none" w:sz="0" w:space="0" w:color="auto"/>
        <w:right w:val="none" w:sz="0" w:space="0" w:color="auto"/>
      </w:divBdr>
    </w:div>
    <w:div w:id="1709601611">
      <w:bodyDiv w:val="1"/>
      <w:marLeft w:val="0"/>
      <w:marRight w:val="0"/>
      <w:marTop w:val="0"/>
      <w:marBottom w:val="0"/>
      <w:divBdr>
        <w:top w:val="none" w:sz="0" w:space="0" w:color="auto"/>
        <w:left w:val="none" w:sz="0" w:space="0" w:color="auto"/>
        <w:bottom w:val="none" w:sz="0" w:space="0" w:color="auto"/>
        <w:right w:val="none" w:sz="0" w:space="0" w:color="auto"/>
      </w:divBdr>
      <w:divsChild>
        <w:div w:id="1428770867">
          <w:marLeft w:val="0"/>
          <w:marRight w:val="0"/>
          <w:marTop w:val="0"/>
          <w:marBottom w:val="0"/>
          <w:divBdr>
            <w:top w:val="none" w:sz="0" w:space="0" w:color="auto"/>
            <w:left w:val="none" w:sz="0" w:space="0" w:color="auto"/>
            <w:bottom w:val="none" w:sz="0" w:space="0" w:color="auto"/>
            <w:right w:val="none" w:sz="0" w:space="0" w:color="auto"/>
          </w:divBdr>
        </w:div>
      </w:divsChild>
    </w:div>
    <w:div w:id="1722091251">
      <w:bodyDiv w:val="1"/>
      <w:marLeft w:val="0"/>
      <w:marRight w:val="0"/>
      <w:marTop w:val="0"/>
      <w:marBottom w:val="0"/>
      <w:divBdr>
        <w:top w:val="none" w:sz="0" w:space="0" w:color="auto"/>
        <w:left w:val="none" w:sz="0" w:space="0" w:color="auto"/>
        <w:bottom w:val="none" w:sz="0" w:space="0" w:color="auto"/>
        <w:right w:val="none" w:sz="0" w:space="0" w:color="auto"/>
      </w:divBdr>
    </w:div>
    <w:div w:id="1893422835">
      <w:bodyDiv w:val="1"/>
      <w:marLeft w:val="0"/>
      <w:marRight w:val="0"/>
      <w:marTop w:val="0"/>
      <w:marBottom w:val="0"/>
      <w:divBdr>
        <w:top w:val="none" w:sz="0" w:space="0" w:color="auto"/>
        <w:left w:val="none" w:sz="0" w:space="0" w:color="auto"/>
        <w:bottom w:val="none" w:sz="0" w:space="0" w:color="auto"/>
        <w:right w:val="none" w:sz="0" w:space="0" w:color="auto"/>
      </w:divBdr>
      <w:divsChild>
        <w:div w:id="593437034">
          <w:marLeft w:val="0"/>
          <w:marRight w:val="0"/>
          <w:marTop w:val="0"/>
          <w:marBottom w:val="0"/>
          <w:divBdr>
            <w:top w:val="none" w:sz="0" w:space="0" w:color="auto"/>
            <w:left w:val="none" w:sz="0" w:space="0" w:color="auto"/>
            <w:bottom w:val="none" w:sz="0" w:space="0" w:color="auto"/>
            <w:right w:val="none" w:sz="0" w:space="0" w:color="auto"/>
          </w:divBdr>
        </w:div>
      </w:divsChild>
    </w:div>
    <w:div w:id="21193710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D12542-F019-4BF1-91AF-2186D17EE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2690</Words>
  <Characters>16142</Characters>
  <Application>Microsoft Office Word</Application>
  <DocSecurity>0</DocSecurity>
  <Lines>134</Lines>
  <Paragraphs>37</Paragraphs>
  <ScaleCrop>false</ScaleCrop>
  <HeadingPairs>
    <vt:vector size="4" baseType="variant">
      <vt:variant>
        <vt:lpstr>Tytuł</vt:lpstr>
      </vt:variant>
      <vt:variant>
        <vt:i4>1</vt:i4>
      </vt:variant>
      <vt:variant>
        <vt:lpstr>Назва</vt:lpstr>
      </vt:variant>
      <vt:variant>
        <vt:i4>1</vt:i4>
      </vt:variant>
    </vt:vector>
  </HeadingPairs>
  <TitlesOfParts>
    <vt:vector size="2" baseType="lpstr">
      <vt:lpstr> </vt:lpstr>
      <vt:lpstr> </vt:lpstr>
    </vt:vector>
  </TitlesOfParts>
  <Company>ss</Company>
  <LinksUpToDate>false</LinksUpToDate>
  <CharactersWithSpaces>18795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Szymon Szczepanik</cp:lastModifiedBy>
  <cp:revision>3</cp:revision>
  <cp:lastPrinted>2010-05-30T09:50:00Z</cp:lastPrinted>
  <dcterms:created xsi:type="dcterms:W3CDTF">2025-03-12T12:10:00Z</dcterms:created>
  <dcterms:modified xsi:type="dcterms:W3CDTF">2025-03-12T12:12:00Z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