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16735" w:rsidRPr="00916735" w:rsidRDefault="006E022E" w:rsidP="00916735">
      <w:pPr>
        <w:pStyle w:val="MainTitle"/>
        <w:spacing w:line="276" w:lineRule="auto"/>
        <w:rPr>
          <w:sz w:val="28"/>
          <w:szCs w:val="28"/>
          <w:lang w:val="en-US" w:eastAsia="en-US"/>
        </w:rPr>
      </w:pPr>
      <w:r>
        <w:rPr>
          <w:sz w:val="28"/>
          <w:szCs w:val="28"/>
          <w:lang w:val="en-US" w:eastAsia="en-US"/>
        </w:rPr>
        <w:t>O</w:t>
      </w:r>
      <w:r w:rsidRPr="00916735">
        <w:rPr>
          <w:sz w:val="28"/>
          <w:szCs w:val="28"/>
          <w:lang w:val="en-US" w:eastAsia="en-US"/>
        </w:rPr>
        <w:t>ptimizing coal fine properties for industrial applications through chemical treatments</w:t>
      </w:r>
    </w:p>
    <w:p w:rsidR="00FD2540" w:rsidRDefault="006A54BB">
      <w:pPr>
        <w:pStyle w:val="Author"/>
        <w:spacing w:line="276" w:lineRule="auto"/>
        <w:rPr>
          <w:sz w:val="26"/>
          <w:szCs w:val="26"/>
          <w:lang w:val="en-US"/>
        </w:rPr>
      </w:pPr>
      <w:r>
        <w:rPr>
          <w:sz w:val="26"/>
          <w:szCs w:val="26"/>
          <w:u w:val="single"/>
          <w:lang w:val="en-US"/>
        </w:rPr>
        <w:t>Nataliya Korol</w:t>
      </w:r>
      <w:r w:rsidR="00315272">
        <w:rPr>
          <w:sz w:val="26"/>
          <w:szCs w:val="26"/>
          <w:lang w:val="en-US"/>
        </w:rPr>
        <w:t xml:space="preserve"> </w:t>
      </w:r>
      <w:r w:rsidR="00315272">
        <w:rPr>
          <w:sz w:val="26"/>
          <w:szCs w:val="26"/>
          <w:vertAlign w:val="superscript"/>
        </w:rPr>
        <w:t>1</w:t>
      </w:r>
      <w:r>
        <w:rPr>
          <w:sz w:val="26"/>
          <w:szCs w:val="26"/>
          <w:vertAlign w:val="superscript"/>
          <w:lang w:val="en-US"/>
        </w:rPr>
        <w:t>,2</w:t>
      </w:r>
      <w:r w:rsidR="00315272">
        <w:rPr>
          <w:sz w:val="26"/>
          <w:szCs w:val="26"/>
        </w:rPr>
        <w:t xml:space="preserve">, </w:t>
      </w:r>
      <w:r>
        <w:rPr>
          <w:sz w:val="26"/>
          <w:szCs w:val="26"/>
          <w:lang w:val="en-US"/>
        </w:rPr>
        <w:t>Viktor Yankovych</w:t>
      </w:r>
      <w:r w:rsidR="00315272">
        <w:rPr>
          <w:sz w:val="26"/>
          <w:szCs w:val="26"/>
          <w:lang w:val="en-US"/>
        </w:rPr>
        <w:t xml:space="preserve"> </w:t>
      </w:r>
      <w:r>
        <w:rPr>
          <w:sz w:val="26"/>
          <w:szCs w:val="26"/>
          <w:vertAlign w:val="superscript"/>
          <w:lang w:val="en-US"/>
        </w:rPr>
        <w:t>1</w:t>
      </w:r>
      <w:r w:rsidR="00315272">
        <w:rPr>
          <w:sz w:val="28"/>
          <w:szCs w:val="28"/>
          <w:lang w:val="en-US"/>
        </w:rPr>
        <w:br/>
      </w:r>
    </w:p>
    <w:p w:rsidR="00FD2540" w:rsidRDefault="00315272">
      <w:pPr>
        <w:pStyle w:val="Affilation"/>
        <w:spacing w:line="276" w:lineRule="auto"/>
        <w:rPr>
          <w:sz w:val="20"/>
        </w:rPr>
      </w:pPr>
      <w:r>
        <w:rPr>
          <w:sz w:val="20"/>
        </w:rPr>
        <w:t xml:space="preserve">1. </w:t>
      </w:r>
      <w:r w:rsidR="006A54BB">
        <w:rPr>
          <w:sz w:val="20"/>
          <w:lang w:val="en-US"/>
        </w:rPr>
        <w:t>R&amp;D D</w:t>
      </w:r>
      <w:r>
        <w:rPr>
          <w:sz w:val="20"/>
          <w:lang w:val="en-US"/>
        </w:rPr>
        <w:t>epartment</w:t>
      </w:r>
      <w:r>
        <w:rPr>
          <w:sz w:val="20"/>
        </w:rPr>
        <w:t xml:space="preserve">, </w:t>
      </w:r>
      <w:r w:rsidR="006A54BB">
        <w:rPr>
          <w:sz w:val="20"/>
          <w:lang w:val="en-US"/>
        </w:rPr>
        <w:t>LLC Perechin Timber and Chemical Plant</w:t>
      </w:r>
      <w:r>
        <w:rPr>
          <w:sz w:val="20"/>
        </w:rPr>
        <w:t xml:space="preserve">, </w:t>
      </w:r>
      <w:r w:rsidR="006A54BB">
        <w:rPr>
          <w:sz w:val="20"/>
          <w:lang w:val="en-US"/>
        </w:rPr>
        <w:t>UKRAINE</w:t>
      </w:r>
      <w:r>
        <w:rPr>
          <w:sz w:val="20"/>
          <w:lang w:val="en-US"/>
        </w:rPr>
        <w:t xml:space="preserve">, </w:t>
      </w:r>
      <w:r w:rsidR="006A54BB">
        <w:rPr>
          <w:sz w:val="20"/>
          <w:lang w:val="en-US"/>
        </w:rPr>
        <w:t>Perechin</w:t>
      </w:r>
      <w:r>
        <w:rPr>
          <w:sz w:val="20"/>
          <w:lang w:val="en-US"/>
        </w:rPr>
        <w:t xml:space="preserve">, </w:t>
      </w:r>
      <w:r w:rsidR="006A54BB">
        <w:rPr>
          <w:sz w:val="20"/>
          <w:lang w:val="en-US"/>
        </w:rPr>
        <w:t>Uzhanska str, 25</w:t>
      </w:r>
      <w:r>
        <w:rPr>
          <w:sz w:val="20"/>
        </w:rPr>
        <w:t xml:space="preserve">, E-mail: </w:t>
      </w:r>
      <w:r w:rsidR="006A54BB">
        <w:rPr>
          <w:sz w:val="20"/>
          <w:lang w:val="en-US"/>
        </w:rPr>
        <w:t>korolni</w:t>
      </w:r>
      <w:r>
        <w:rPr>
          <w:sz w:val="20"/>
          <w:shd w:val="clear" w:color="auto" w:fill="FFFFFF"/>
        </w:rPr>
        <w:t>@</w:t>
      </w:r>
      <w:r w:rsidR="006A54BB">
        <w:rPr>
          <w:sz w:val="20"/>
          <w:shd w:val="clear" w:color="auto" w:fill="FFFFFF"/>
          <w:lang w:val="en-US"/>
        </w:rPr>
        <w:t>lxk</w:t>
      </w:r>
      <w:r>
        <w:rPr>
          <w:sz w:val="20"/>
          <w:shd w:val="clear" w:color="auto" w:fill="FFFFFF"/>
        </w:rPr>
        <w:t>.com</w:t>
      </w:r>
      <w:r w:rsidR="006A54BB">
        <w:rPr>
          <w:sz w:val="20"/>
          <w:shd w:val="clear" w:color="auto" w:fill="FFFFFF"/>
          <w:lang w:val="en-US"/>
        </w:rPr>
        <w:t>.ua</w:t>
      </w:r>
      <w:r>
        <w:rPr>
          <w:sz w:val="28"/>
          <w:szCs w:val="28"/>
          <w:lang w:val="en-US"/>
        </w:rPr>
        <w:br/>
      </w:r>
    </w:p>
    <w:p w:rsidR="00FD2540" w:rsidRDefault="00315272">
      <w:pPr>
        <w:pStyle w:val="Affilation"/>
        <w:spacing w:line="276" w:lineRule="auto"/>
        <w:rPr>
          <w:sz w:val="20"/>
        </w:rPr>
      </w:pPr>
      <w:r>
        <w:rPr>
          <w:sz w:val="20"/>
        </w:rPr>
        <w:t xml:space="preserve">2. </w:t>
      </w:r>
      <w:r w:rsidR="006A54BB">
        <w:rPr>
          <w:sz w:val="20"/>
          <w:lang w:val="en-US"/>
        </w:rPr>
        <w:t xml:space="preserve">Organic Chemistry </w:t>
      </w:r>
      <w:r>
        <w:rPr>
          <w:sz w:val="20"/>
          <w:lang w:val="en-US"/>
        </w:rPr>
        <w:t>Department</w:t>
      </w:r>
      <w:r>
        <w:rPr>
          <w:sz w:val="20"/>
        </w:rPr>
        <w:t xml:space="preserve">, </w:t>
      </w:r>
      <w:r w:rsidR="006A54BB">
        <w:rPr>
          <w:sz w:val="20"/>
          <w:lang w:val="en-US"/>
        </w:rPr>
        <w:t xml:space="preserve">Uzhhorod National </w:t>
      </w:r>
      <w:r>
        <w:rPr>
          <w:sz w:val="20"/>
        </w:rPr>
        <w:t xml:space="preserve">University, </w:t>
      </w:r>
      <w:r w:rsidR="006A54BB">
        <w:rPr>
          <w:sz w:val="20"/>
          <w:lang w:val="en-US"/>
        </w:rPr>
        <w:t>UKRAINE</w:t>
      </w:r>
      <w:r>
        <w:rPr>
          <w:sz w:val="20"/>
          <w:lang w:val="en-US"/>
        </w:rPr>
        <w:t xml:space="preserve">, </w:t>
      </w:r>
      <w:r w:rsidR="006A54BB">
        <w:rPr>
          <w:sz w:val="20"/>
          <w:lang w:val="en-US"/>
        </w:rPr>
        <w:t>Uzhhorod</w:t>
      </w:r>
      <w:r>
        <w:rPr>
          <w:sz w:val="20"/>
          <w:lang w:val="en-US"/>
        </w:rPr>
        <w:t xml:space="preserve">, </w:t>
      </w:r>
      <w:r w:rsidR="006A54BB">
        <w:rPr>
          <w:sz w:val="20"/>
          <w:lang w:val="en-US"/>
        </w:rPr>
        <w:t>Pidhirna str., 46</w:t>
      </w:r>
      <w:r>
        <w:rPr>
          <w:sz w:val="20"/>
        </w:rPr>
        <w:t xml:space="preserve">, E-mail: </w:t>
      </w:r>
      <w:r w:rsidR="006A54BB">
        <w:rPr>
          <w:sz w:val="20"/>
          <w:lang w:val="en-US"/>
        </w:rPr>
        <w:t>nataliya.korol@uzhnu.edu.ua</w:t>
      </w:r>
      <w:r>
        <w:rPr>
          <w:sz w:val="28"/>
          <w:szCs w:val="28"/>
          <w:lang w:val="en-US"/>
        </w:rPr>
        <w:br/>
      </w:r>
    </w:p>
    <w:p w:rsidR="00916735" w:rsidRPr="008A275B" w:rsidRDefault="00315272" w:rsidP="00916735">
      <w:pPr>
        <w:pStyle w:val="Abstract"/>
        <w:spacing w:after="120" w:line="276" w:lineRule="auto"/>
        <w:rPr>
          <w:sz w:val="22"/>
          <w:szCs w:val="22"/>
          <w:lang w:val="en-US"/>
        </w:rPr>
      </w:pPr>
      <w:r>
        <w:rPr>
          <w:sz w:val="22"/>
          <w:szCs w:val="22"/>
        </w:rPr>
        <w:t>Abstract</w:t>
      </w:r>
      <w:r>
        <w:rPr>
          <w:sz w:val="22"/>
          <w:szCs w:val="22"/>
          <w:lang w:val="en-GB"/>
        </w:rPr>
        <w:t>.</w:t>
      </w:r>
      <w:r>
        <w:rPr>
          <w:sz w:val="22"/>
          <w:szCs w:val="22"/>
        </w:rPr>
        <w:t xml:space="preserve"> </w:t>
      </w:r>
      <w:r w:rsidR="008A275B" w:rsidRPr="008A275B">
        <w:rPr>
          <w:sz w:val="22"/>
          <w:szCs w:val="22"/>
          <w:lang w:val="en-US"/>
        </w:rPr>
        <w:t>This study examines how different solvents affect the textural properties of coal fines through controlled washing. The findings reveal that solvent type and washing duration significantly impact surface area and pore volume. These insights are valuable for optimizing coal fines in adsorption, filtration, and catalytic applications, enhancing their industrial potential.</w:t>
      </w:r>
    </w:p>
    <w:p w:rsidR="00FD2540" w:rsidRPr="00916735" w:rsidRDefault="00FD2540">
      <w:pPr>
        <w:pStyle w:val="Abstract"/>
        <w:spacing w:after="120" w:line="276" w:lineRule="auto"/>
        <w:ind w:firstLine="0"/>
        <w:rPr>
          <w:sz w:val="22"/>
          <w:szCs w:val="22"/>
          <w:lang w:val="en-US"/>
        </w:rPr>
      </w:pPr>
    </w:p>
    <w:p w:rsidR="00FD2540" w:rsidRDefault="008A275B" w:rsidP="008A275B">
      <w:pPr>
        <w:pStyle w:val="IndexTerms"/>
        <w:spacing w:line="276" w:lineRule="auto"/>
        <w:ind w:firstLine="0"/>
        <w:rPr>
          <w:sz w:val="22"/>
          <w:szCs w:val="22"/>
          <w:lang w:val="en-US"/>
        </w:rPr>
      </w:pPr>
      <w:r w:rsidRPr="008A275B">
        <w:rPr>
          <w:sz w:val="22"/>
          <w:szCs w:val="22"/>
          <w:lang w:val="en-US"/>
        </w:rPr>
        <w:t>Coal fines</w:t>
      </w:r>
      <w:r>
        <w:rPr>
          <w:sz w:val="22"/>
          <w:szCs w:val="22"/>
          <w:lang w:val="en-US"/>
        </w:rPr>
        <w:t>, s</w:t>
      </w:r>
      <w:r w:rsidRPr="008A275B">
        <w:rPr>
          <w:sz w:val="22"/>
          <w:szCs w:val="22"/>
          <w:lang w:val="en-US"/>
        </w:rPr>
        <w:t>urface area</w:t>
      </w:r>
      <w:r>
        <w:rPr>
          <w:sz w:val="22"/>
          <w:szCs w:val="22"/>
          <w:lang w:val="en-US"/>
        </w:rPr>
        <w:t>, p</w:t>
      </w:r>
      <w:r w:rsidRPr="008A275B">
        <w:rPr>
          <w:sz w:val="22"/>
          <w:szCs w:val="22"/>
          <w:lang w:val="en-US"/>
        </w:rPr>
        <w:t>ore volume</w:t>
      </w:r>
      <w:r>
        <w:rPr>
          <w:sz w:val="22"/>
          <w:szCs w:val="22"/>
          <w:lang w:val="en-US"/>
        </w:rPr>
        <w:t>, s</w:t>
      </w:r>
      <w:r w:rsidRPr="008A275B">
        <w:rPr>
          <w:sz w:val="22"/>
          <w:szCs w:val="22"/>
          <w:lang w:val="en-US"/>
        </w:rPr>
        <w:t>olvent washing</w:t>
      </w:r>
      <w:r>
        <w:rPr>
          <w:sz w:val="22"/>
          <w:szCs w:val="22"/>
          <w:lang w:val="en-US"/>
        </w:rPr>
        <w:t>, a</w:t>
      </w:r>
      <w:r w:rsidRPr="008A275B">
        <w:rPr>
          <w:sz w:val="22"/>
          <w:szCs w:val="22"/>
          <w:lang w:val="en-US"/>
        </w:rPr>
        <w:t>dsorption</w:t>
      </w:r>
    </w:p>
    <w:p w:rsidR="00FD2540" w:rsidRDefault="00315272" w:rsidP="00102CAF">
      <w:pPr>
        <w:spacing w:after="120"/>
        <w:jc w:val="center"/>
        <w:rPr>
          <w:b/>
        </w:rPr>
      </w:pPr>
      <w:r>
        <w:rPr>
          <w:b/>
        </w:rPr>
        <w:t>Introduction</w:t>
      </w:r>
    </w:p>
    <w:p w:rsidR="00102CAF" w:rsidRPr="00102CAF" w:rsidRDefault="00102CAF" w:rsidP="00102CAF">
      <w:pPr>
        <w:tabs>
          <w:tab w:val="left" w:pos="198"/>
        </w:tabs>
        <w:ind w:firstLine="567"/>
        <w:jc w:val="both"/>
        <w:rPr>
          <w:lang w:val="en-US"/>
        </w:rPr>
      </w:pPr>
      <w:r w:rsidRPr="00102CAF">
        <w:rPr>
          <w:lang w:val="en-US"/>
        </w:rPr>
        <w:t>Coal fines, fine particulate byproducts of coal processing, have significant adsorption potential due to their porous structure. However, their effectiveness in industrial applications depends on surface area and pore volume</w:t>
      </w:r>
      <w:r>
        <w:rPr>
          <w:lang w:val="en-US"/>
        </w:rPr>
        <w:t xml:space="preserve"> [1, 2, 3]</w:t>
      </w:r>
      <w:r w:rsidRPr="00102CAF">
        <w:rPr>
          <w:lang w:val="en-US"/>
        </w:rPr>
        <w:t>. Modifying these properties can enhance their utility in filtration, catalysis, and gas storage.</w:t>
      </w:r>
    </w:p>
    <w:p w:rsidR="00102CAF" w:rsidRPr="00102CAF" w:rsidRDefault="00102CAF" w:rsidP="00102CAF">
      <w:pPr>
        <w:tabs>
          <w:tab w:val="left" w:pos="198"/>
        </w:tabs>
        <w:ind w:firstLine="567"/>
        <w:jc w:val="both"/>
        <w:rPr>
          <w:lang w:val="en-US"/>
        </w:rPr>
      </w:pPr>
      <w:r w:rsidRPr="00102CAF">
        <w:rPr>
          <w:lang w:val="en-US"/>
        </w:rPr>
        <w:t>One widely used method to improve porous materials is chemical or solvent washing, which removes surface contaminants and alters the microstructure</w:t>
      </w:r>
      <w:r>
        <w:rPr>
          <w:lang w:val="en-US"/>
        </w:rPr>
        <w:t xml:space="preserve"> [4]</w:t>
      </w:r>
      <w:r w:rsidRPr="00102CAF">
        <w:rPr>
          <w:lang w:val="en-US"/>
        </w:rPr>
        <w:t>. Solvent selection plays a crucial role in determining the final textural properties of coal fines.</w:t>
      </w:r>
    </w:p>
    <w:p w:rsidR="00102CAF" w:rsidRPr="00102CAF" w:rsidRDefault="00102CAF" w:rsidP="00102CAF">
      <w:pPr>
        <w:tabs>
          <w:tab w:val="left" w:pos="198"/>
        </w:tabs>
        <w:ind w:firstLine="567"/>
        <w:jc w:val="both"/>
        <w:rPr>
          <w:lang w:val="en-US"/>
        </w:rPr>
      </w:pPr>
      <w:r w:rsidRPr="00102CAF">
        <w:rPr>
          <w:lang w:val="en-US"/>
        </w:rPr>
        <w:t>A particularly promising application of these modified materials is in activated carbon production. Activated carbon, characterized by high porosity and adsorption capacity, is extensively used in water purification, air filtration, and energy storage</w:t>
      </w:r>
      <w:r>
        <w:rPr>
          <w:lang w:val="en-US"/>
        </w:rPr>
        <w:t xml:space="preserve"> [5]</w:t>
      </w:r>
      <w:r w:rsidRPr="00102CAF">
        <w:rPr>
          <w:lang w:val="en-US"/>
        </w:rPr>
        <w:t>. By refining coal fines through solvent treatment, their properties can be tailored for specific adsorption-based applications, including carbon dioxide capture and catalytic reactions.</w:t>
      </w:r>
    </w:p>
    <w:p w:rsidR="00102CAF" w:rsidRPr="00102CAF" w:rsidRDefault="00102CAF" w:rsidP="00102CAF">
      <w:pPr>
        <w:tabs>
          <w:tab w:val="left" w:pos="198"/>
        </w:tabs>
        <w:ind w:firstLine="567"/>
        <w:jc w:val="both"/>
        <w:rPr>
          <w:lang w:val="en-US"/>
        </w:rPr>
      </w:pPr>
      <w:r w:rsidRPr="00102CAF">
        <w:rPr>
          <w:lang w:val="en-US"/>
        </w:rPr>
        <w:t>This study investigates the effects of different solvent treatments on the surface area and pore volume of coal fines, providing insight into optimizing their textural properties for various industrial applications.</w:t>
      </w:r>
    </w:p>
    <w:p w:rsidR="00916735" w:rsidRPr="00916735" w:rsidRDefault="00916735" w:rsidP="00102CAF">
      <w:pPr>
        <w:spacing w:before="120" w:after="120"/>
        <w:jc w:val="center"/>
        <w:rPr>
          <w:b/>
          <w:lang w:val="en-US"/>
        </w:rPr>
      </w:pPr>
      <w:bookmarkStart w:id="0" w:name="_GoBack"/>
      <w:bookmarkEnd w:id="0"/>
      <w:r w:rsidRPr="00916735">
        <w:rPr>
          <w:b/>
          <w:bCs/>
          <w:lang w:val="en-US"/>
        </w:rPr>
        <w:t>Materials and Methods</w:t>
      </w:r>
    </w:p>
    <w:p w:rsidR="00783EC6" w:rsidRPr="00783EC6" w:rsidRDefault="00783EC6" w:rsidP="00102CAF">
      <w:pPr>
        <w:spacing w:before="120" w:after="120"/>
        <w:ind w:firstLine="851"/>
        <w:jc w:val="both"/>
        <w:rPr>
          <w:lang w:val="en-US"/>
        </w:rPr>
      </w:pPr>
      <w:r w:rsidRPr="00783EC6">
        <w:rPr>
          <w:lang w:val="en-US"/>
        </w:rPr>
        <w:t>A sample of coal fines (particle size: 0–3 mm) was obtained from commercially available products supplied by LLC Perechin Timber and Chemical Plant. The sample underwent washing using various solvents to assess changes in its textural properties. To ensure complete washing, a fixed solvent-to-coal ratio of 3:1 (volume/mass) was maintained. The washing process involved controlled heating and refluxing to prevent solvent loss, with specific durations set for each solvent. All solvents used in the study were procured from SigmaAldrich to ensure consistency and reliability of the results.</w:t>
      </w:r>
    </w:p>
    <w:p w:rsidR="00783EC6" w:rsidRPr="00783EC6" w:rsidRDefault="00783EC6" w:rsidP="00102CAF">
      <w:pPr>
        <w:spacing w:before="120" w:after="120"/>
        <w:ind w:firstLine="851"/>
        <w:jc w:val="both"/>
        <w:rPr>
          <w:lang w:val="en-US"/>
        </w:rPr>
      </w:pPr>
      <w:r w:rsidRPr="00783EC6">
        <w:rPr>
          <w:lang w:val="en-US"/>
        </w:rPr>
        <w:t xml:space="preserve">Following the washing process, the key textural parameters—specific surface area (m²/g) and pore volume (cm³/g)—were determined to evaluate the impact of each solvent treatment. The processed carbon materials were then subjected to further preparation and analysis. They were sieved using a 0.16 mm mesh to remove oversized particles and subsequently degassed with nitrogen at 300°C for one hour using a Micromeritics FlowPrep 060 degassing system. The final </w:t>
      </w:r>
      <w:r w:rsidRPr="00783EC6">
        <w:rPr>
          <w:lang w:val="en-US"/>
        </w:rPr>
        <w:lastRenderedPageBreak/>
        <w:t>measurements of surface area and pore volume were performed using a Micromeritics Gemini VII porosimeter, following the instrument’s standard operating procedures.</w:t>
      </w:r>
    </w:p>
    <w:p w:rsidR="00916735" w:rsidRPr="00916735" w:rsidRDefault="00916735" w:rsidP="00102CAF">
      <w:pPr>
        <w:spacing w:before="120" w:after="120"/>
        <w:jc w:val="center"/>
        <w:rPr>
          <w:b/>
          <w:bCs/>
          <w:lang w:val="en-US"/>
        </w:rPr>
      </w:pPr>
      <w:r w:rsidRPr="00916735">
        <w:rPr>
          <w:b/>
          <w:bCs/>
          <w:lang w:val="en-US"/>
        </w:rPr>
        <w:t>Results and Discussion</w:t>
      </w:r>
    </w:p>
    <w:p w:rsidR="00916735" w:rsidRPr="00916735" w:rsidRDefault="00916735" w:rsidP="00102CAF">
      <w:pPr>
        <w:tabs>
          <w:tab w:val="left" w:pos="198"/>
        </w:tabs>
        <w:ind w:firstLine="567"/>
        <w:jc w:val="both"/>
        <w:rPr>
          <w:lang w:val="en-US"/>
        </w:rPr>
      </w:pPr>
      <w:r w:rsidRPr="00916735">
        <w:rPr>
          <w:lang w:val="en-US"/>
        </w:rPr>
        <w:t xml:space="preserve">This study investigates the influence of various solvents on the textural properties of coal fines through a controlled washing process. The primary objective was to evaluate the modifications in specific surface area and pore volume after washing with different solvents. The results indicate that solvent type and washing duration significantly affect these properties, providing valuable insights for potential applications in adsorption and filtration technologies. Coal fines, fine particulate matter derived from coal processing, possess significant surface and pore characteristics that influence their applications. Enhancing these properties through washing with different solvents can lead to improved performance in adsorption and catalytic processes. This study aims to determine how different solvents affect the surface area and pore volume of coal fines, using a comparative experimental approach. A sample of coal fines (particle size: 0–3 mm) was subjected to washing using various solvents. A fixed solvent-to-coal ratio was maintained at 3:1 (volume/mass) to ensure complete washing. The washing process involved heating and refluxing for controlled durations, preventing solvent loss. The specific washing conditions for each solvent were as follows: ethyl acetate, ethanol, and acetic acid were boiled for 1 hour under reflux; water was boiled for 2 and 5 hours under reflux; 5% aqueous orthophosphoric acid solution was boiled for 2 hours under reflux; and 10% aqueous potassium hydroxide solution was washed at room temperature for 24 hours. After washing, the specific surface area (m²/g) and pore volume (cm³/g) of the samples were determined as key indicators of textural </w:t>
      </w:r>
      <w:proofErr w:type="gramStart"/>
      <w:r w:rsidRPr="00916735">
        <w:rPr>
          <w:lang w:val="en-US"/>
        </w:rPr>
        <w:t>changes.The</w:t>
      </w:r>
      <w:proofErr w:type="gramEnd"/>
      <w:r w:rsidRPr="00916735">
        <w:rPr>
          <w:lang w:val="en-US"/>
        </w:rPr>
        <w:t xml:space="preserve"> results of the washing process are summarized in the following </w:t>
      </w:r>
      <w:r>
        <w:rPr>
          <w:lang w:val="en-US"/>
        </w:rPr>
        <w:t>T</w:t>
      </w:r>
      <w:r w:rsidRPr="00916735">
        <w:rPr>
          <w:lang w:val="en-US"/>
        </w:rPr>
        <w:t>able</w:t>
      </w:r>
      <w:r>
        <w:rPr>
          <w:lang w:val="en-US"/>
        </w:rPr>
        <w:t xml:space="preserve"> 1</w:t>
      </w:r>
      <w:r w:rsidRPr="00916735">
        <w:rPr>
          <w:lang w:val="en-US"/>
        </w:rPr>
        <w:t>:</w:t>
      </w:r>
    </w:p>
    <w:p w:rsidR="00FD2540" w:rsidRDefault="00315272" w:rsidP="00102CAF">
      <w:pPr>
        <w:spacing w:before="120"/>
        <w:jc w:val="right"/>
      </w:pPr>
      <w:r>
        <w:rPr>
          <w:i/>
        </w:rPr>
        <w:t>Table 1</w:t>
      </w:r>
    </w:p>
    <w:p w:rsidR="00916735" w:rsidRPr="00916735" w:rsidRDefault="00102CAF" w:rsidP="00102CAF">
      <w:pPr>
        <w:jc w:val="center"/>
        <w:rPr>
          <w:lang w:val="en-US"/>
        </w:rPr>
      </w:pPr>
      <w:r>
        <w:rPr>
          <w:lang w:val="en-US"/>
        </w:rPr>
        <w:t>C</w:t>
      </w:r>
      <w:r w:rsidRPr="00916735">
        <w:rPr>
          <w:lang w:val="en-US"/>
        </w:rPr>
        <w:t>hanges in surface area and pore volume of coal fines after washing with various solvents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378"/>
        <w:gridCol w:w="1620"/>
        <w:gridCol w:w="1620"/>
        <w:gridCol w:w="1620"/>
      </w:tblGrid>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Pr="00916735" w:rsidRDefault="00916735" w:rsidP="00102CAF">
            <w:pPr>
              <w:jc w:val="center"/>
              <w:rPr>
                <w:b/>
                <w:bCs/>
              </w:rPr>
            </w:pPr>
            <w:r w:rsidRPr="00916735">
              <w:rPr>
                <w:b/>
                <w:bCs/>
              </w:rPr>
              <w:t>Solvent</w:t>
            </w:r>
          </w:p>
        </w:tc>
        <w:tc>
          <w:tcPr>
            <w:tcW w:w="1620" w:type="dxa"/>
            <w:tcBorders>
              <w:top w:val="single" w:sz="6" w:space="0" w:color="auto"/>
              <w:left w:val="single" w:sz="6" w:space="0" w:color="auto"/>
              <w:bottom w:val="single" w:sz="6" w:space="0" w:color="auto"/>
              <w:right w:val="single" w:sz="6" w:space="0" w:color="auto"/>
            </w:tcBorders>
          </w:tcPr>
          <w:p w:rsidR="00916735" w:rsidRPr="00916735" w:rsidRDefault="00916735" w:rsidP="00102CAF">
            <w:pPr>
              <w:jc w:val="center"/>
              <w:rPr>
                <w:b/>
                <w:bCs/>
              </w:rPr>
            </w:pPr>
            <w:r w:rsidRPr="00916735">
              <w:rPr>
                <w:b/>
                <w:bCs/>
              </w:rPr>
              <w:t>Boiling Time (h)</w:t>
            </w:r>
          </w:p>
        </w:tc>
        <w:tc>
          <w:tcPr>
            <w:tcW w:w="1620" w:type="dxa"/>
            <w:tcBorders>
              <w:top w:val="single" w:sz="6" w:space="0" w:color="auto"/>
              <w:left w:val="single" w:sz="6" w:space="0" w:color="auto"/>
              <w:bottom w:val="single" w:sz="6" w:space="0" w:color="auto"/>
              <w:right w:val="single" w:sz="6" w:space="0" w:color="auto"/>
            </w:tcBorders>
          </w:tcPr>
          <w:p w:rsidR="00916735" w:rsidRPr="00916735" w:rsidRDefault="00916735" w:rsidP="00102CAF">
            <w:pPr>
              <w:jc w:val="center"/>
              <w:rPr>
                <w:b/>
                <w:bCs/>
              </w:rPr>
            </w:pPr>
            <w:r w:rsidRPr="00916735">
              <w:rPr>
                <w:b/>
                <w:bCs/>
              </w:rPr>
              <w:t>Surface Area (m²/g)</w:t>
            </w:r>
          </w:p>
        </w:tc>
        <w:tc>
          <w:tcPr>
            <w:tcW w:w="1620" w:type="dxa"/>
            <w:tcBorders>
              <w:top w:val="single" w:sz="6" w:space="0" w:color="auto"/>
              <w:left w:val="single" w:sz="6" w:space="0" w:color="auto"/>
              <w:bottom w:val="single" w:sz="6" w:space="0" w:color="auto"/>
              <w:right w:val="single" w:sz="6" w:space="0" w:color="auto"/>
            </w:tcBorders>
          </w:tcPr>
          <w:p w:rsidR="00916735" w:rsidRPr="00916735" w:rsidRDefault="00916735" w:rsidP="00102CAF">
            <w:pPr>
              <w:jc w:val="center"/>
              <w:rPr>
                <w:b/>
                <w:bCs/>
              </w:rPr>
            </w:pPr>
            <w:r w:rsidRPr="00916735">
              <w:rPr>
                <w:b/>
                <w:bCs/>
              </w:rPr>
              <w:t>Pore Volume (cm³/g)</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Acetic acid</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1</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196.0</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0.1188</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Control (unwashed)</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215.5</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0.1428</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Ethyl acetate</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1</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227.7</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0.1802</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Water</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237.2</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0.1769</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Ethanol</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1</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254.0</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0.1989</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5% Orthophosphoric acid</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258.0</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0.2050</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Water</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5</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263.2</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0.1709</w:t>
            </w:r>
          </w:p>
        </w:tc>
      </w:tr>
      <w:tr w:rsidR="00916735" w:rsidTr="00916735">
        <w:trPr>
          <w:jc w:val="center"/>
        </w:trPr>
        <w:tc>
          <w:tcPr>
            <w:tcW w:w="2378"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10% Potassium hydroxide</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24 (room temp)</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372.1</w:t>
            </w:r>
          </w:p>
        </w:tc>
        <w:tc>
          <w:tcPr>
            <w:tcW w:w="1620" w:type="dxa"/>
            <w:tcBorders>
              <w:top w:val="single" w:sz="6" w:space="0" w:color="auto"/>
              <w:left w:val="single" w:sz="6" w:space="0" w:color="auto"/>
              <w:bottom w:val="single" w:sz="6" w:space="0" w:color="auto"/>
              <w:right w:val="single" w:sz="6" w:space="0" w:color="auto"/>
            </w:tcBorders>
          </w:tcPr>
          <w:p w:rsidR="00916735" w:rsidRDefault="00916735" w:rsidP="00102CAF">
            <w:pPr>
              <w:jc w:val="center"/>
            </w:pPr>
            <w:r>
              <w:t>0.1710</w:t>
            </w:r>
          </w:p>
        </w:tc>
      </w:tr>
    </w:tbl>
    <w:p w:rsidR="00C253FE" w:rsidRPr="00C253FE" w:rsidRDefault="00C253FE" w:rsidP="00102CAF">
      <w:pPr>
        <w:tabs>
          <w:tab w:val="left" w:pos="198"/>
        </w:tabs>
        <w:ind w:firstLine="567"/>
        <w:jc w:val="both"/>
        <w:rPr>
          <w:lang w:val="en-US"/>
        </w:rPr>
      </w:pPr>
      <w:r w:rsidRPr="00C253FE">
        <w:rPr>
          <w:lang w:val="en-US"/>
        </w:rPr>
        <w:t>The best sample after the experiment was the coal fines washed with 10% potassium hydroxide, which exhibited the highest surface area (372.1 m²/g). This sample can be particularly valuable in applications such as gas adsorption, activated carbon production, and catalytic processes due to its enhanced surface properties. These characteristics make it suitable for use in environmental cleanup technologies, industrial filtration, and energy storage materials. The increase in surface area and porosity directly correlates to improved adsorption capabilities, which are crucial for processes like pollutant removal, chemical separation, and catalyst support in industrial applications.</w:t>
      </w:r>
    </w:p>
    <w:p w:rsidR="007F4762" w:rsidRDefault="00C253FE" w:rsidP="007F4762">
      <w:pPr>
        <w:tabs>
          <w:tab w:val="left" w:pos="198"/>
        </w:tabs>
        <w:ind w:firstLine="567"/>
        <w:jc w:val="both"/>
      </w:pPr>
      <w:r w:rsidRPr="00C253FE">
        <w:rPr>
          <w:lang w:val="en-US"/>
        </w:rPr>
        <w:t xml:space="preserve">The control sample of unwashed coal fines exhibited a surface area of 215.5 m²/g and a pore volume of 0.1428 cm³/g, serving as a baseline for comparison. Washing with ethanol, orthophosphoric acid, and potassium hydroxide resulted in a significant increase in both parameters. Ethanol and orthophosphoric acid yielded the highest pore volumes (0.1989 cm³/g and 0.2050 cm³/g, respectively), suggesting effective removal of surface impurities and opening of microstructures. The treatment with potassium hydroxide resulted in the most considerable increase in surface area (372.1 m²/g), likely due to its strong chemical reactivity, which can break </w:t>
      </w:r>
      <w:r w:rsidRPr="00C253FE">
        <w:rPr>
          <w:lang w:val="en-US"/>
        </w:rPr>
        <w:lastRenderedPageBreak/>
        <w:t xml:space="preserve">down complex organic structures and dissolve inorganic components. Prolonged washing with water (5 hours) also significantly increased surface area, indicating that extended exposure to a </w:t>
      </w:r>
      <w:proofErr w:type="gramStart"/>
      <w:r w:rsidRPr="00C253FE">
        <w:rPr>
          <w:lang w:val="en-US"/>
        </w:rPr>
        <w:t>polar solvent aids</w:t>
      </w:r>
      <w:proofErr w:type="gramEnd"/>
      <w:r w:rsidRPr="00C253FE">
        <w:rPr>
          <w:lang w:val="en-US"/>
        </w:rPr>
        <w:t xml:space="preserve"> in the gradual removal of loosely bound materials. In contrast, acetic acid washing led to a decrease in both surface area and pore volume, likely due to the deposition of reaction products on the coal surface or partial collapse of micropores.</w:t>
      </w:r>
      <w:r w:rsidR="007F4762">
        <w:rPr>
          <w:lang w:val="en-US"/>
        </w:rPr>
        <w:t xml:space="preserve"> </w:t>
      </w:r>
      <w:r w:rsidR="007F4762" w:rsidRPr="007F4762">
        <w:t>These data are visualized in Figure 1.</w:t>
      </w:r>
    </w:p>
    <w:p w:rsidR="007F4762" w:rsidRDefault="007F4762" w:rsidP="007F4762">
      <w:pPr>
        <w:tabs>
          <w:tab w:val="left" w:pos="198"/>
        </w:tabs>
        <w:ind w:firstLine="567"/>
        <w:jc w:val="both"/>
      </w:pPr>
      <w:r>
        <w:rPr>
          <w:noProof/>
        </w:rPr>
        <w:drawing>
          <wp:inline distT="0" distB="0" distL="0" distR="0">
            <wp:extent cx="5093970" cy="3056164"/>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02022" cy="3060995"/>
                    </a:xfrm>
                    <a:prstGeom prst="rect">
                      <a:avLst/>
                    </a:prstGeom>
                    <a:noFill/>
                    <a:ln>
                      <a:noFill/>
                    </a:ln>
                  </pic:spPr>
                </pic:pic>
              </a:graphicData>
            </a:graphic>
          </wp:inline>
        </w:drawing>
      </w:r>
    </w:p>
    <w:p w:rsidR="007F4762" w:rsidRPr="007F4762" w:rsidRDefault="007F4762" w:rsidP="007F4762">
      <w:pPr>
        <w:tabs>
          <w:tab w:val="left" w:pos="198"/>
        </w:tabs>
        <w:spacing w:after="120" w:line="276" w:lineRule="auto"/>
        <w:ind w:firstLine="567"/>
        <w:jc w:val="center"/>
        <w:rPr>
          <w:lang w:val="en-US"/>
        </w:rPr>
      </w:pPr>
      <w:r w:rsidRPr="007F4762">
        <w:rPr>
          <w:lang w:val="en-US"/>
        </w:rPr>
        <w:t>Fig.1</w:t>
      </w:r>
      <w:r>
        <w:rPr>
          <w:lang w:val="en-US"/>
        </w:rPr>
        <w:t xml:space="preserve">. </w:t>
      </w:r>
      <w:r w:rsidRPr="007F4762">
        <w:rPr>
          <w:lang w:val="en-US"/>
        </w:rPr>
        <w:t>Comparison of surface area (m²/g) for different solvent treatments.</w:t>
      </w:r>
    </w:p>
    <w:p w:rsidR="00C253FE" w:rsidRDefault="00C253FE" w:rsidP="00102CAF">
      <w:pPr>
        <w:tabs>
          <w:tab w:val="left" w:pos="198"/>
        </w:tabs>
        <w:ind w:firstLine="567"/>
        <w:jc w:val="both"/>
        <w:rPr>
          <w:lang w:val="en-US"/>
        </w:rPr>
      </w:pPr>
      <w:r w:rsidRPr="00C253FE">
        <w:rPr>
          <w:lang w:val="en-US"/>
        </w:rPr>
        <w:t>These observations can be explained through chemical interactions. Potassium hydroxide, being a strong base, can facilitate the hydrolysis of organic compounds and dissolution of certain mineral components, leading to an increase in surface area. Ethanol, as an organic solvent, may remove non-polar hydrocarbons more effectively, exposing a higher number of adsorption sites. Orthophosphoric acid, a weak acid, could react with basic functional groups present in coal, modifying the structure and increasing porosity. Water, particularly with prolonged exposure, can induce physical swelling and dissolution of certain soluble compounds, contributing to the observed increase in textural properties. The observed differences emphasize the importance of solvent selection in modifying coal fines for industrial applications such as adsorption, catalysis, and filtration. Further studies should focus on the specific chemical transformations occurring during washing to better understand the mechanisms underlying these textural modifications.</w:t>
      </w:r>
    </w:p>
    <w:p w:rsidR="00C253FE" w:rsidRPr="00C253FE" w:rsidRDefault="00C253FE" w:rsidP="00102CAF">
      <w:pPr>
        <w:spacing w:before="120" w:after="120"/>
        <w:jc w:val="center"/>
        <w:rPr>
          <w:b/>
          <w:bCs/>
          <w:lang w:val="en-US"/>
        </w:rPr>
      </w:pPr>
      <w:r w:rsidRPr="00C253FE">
        <w:rPr>
          <w:b/>
          <w:bCs/>
          <w:lang w:val="en-US"/>
        </w:rPr>
        <w:t xml:space="preserve">Potassium </w:t>
      </w:r>
      <w:r w:rsidR="00783EC6" w:rsidRPr="00C253FE">
        <w:rPr>
          <w:b/>
          <w:bCs/>
          <w:lang w:val="en-US"/>
        </w:rPr>
        <w:t>hydroxide treatment: properties, uses, and benefits</w:t>
      </w:r>
    </w:p>
    <w:p w:rsidR="00783EC6" w:rsidRPr="00783EC6" w:rsidRDefault="00783EC6" w:rsidP="00102CAF">
      <w:pPr>
        <w:tabs>
          <w:tab w:val="left" w:pos="198"/>
        </w:tabs>
        <w:ind w:firstLine="567"/>
        <w:jc w:val="both"/>
        <w:rPr>
          <w:lang w:val="en-US"/>
        </w:rPr>
      </w:pPr>
      <w:r w:rsidRPr="00783EC6">
        <w:rPr>
          <w:lang w:val="en-US"/>
        </w:rPr>
        <w:t>The potassium hydroxide-treated sample exhibits a highly developed porous structure with distinct micro- and mesoporous contributions. A single-point measurement (p/p° ≈ 0.25103) indicates a surface area of 154.07 m²/g, while BET analysis reveals a significantly larger value of 322.08 m²/g, highlighting the extensive surface area accessible through multilayer adsorption. The t-Plot method further refines this assessment, attributing 175.80 m²/g to micropores and 146.29 m²/g to external (meso- and macroporous) surfaces, confirming the coexistence of both pore types.</w:t>
      </w:r>
    </w:p>
    <w:p w:rsidR="00783EC6" w:rsidRPr="00783EC6" w:rsidRDefault="00783EC6" w:rsidP="00102CAF">
      <w:pPr>
        <w:tabs>
          <w:tab w:val="left" w:pos="198"/>
        </w:tabs>
        <w:ind w:firstLine="567"/>
        <w:jc w:val="both"/>
        <w:rPr>
          <w:lang w:val="en-US"/>
        </w:rPr>
      </w:pPr>
      <w:r w:rsidRPr="00783EC6">
        <w:rPr>
          <w:lang w:val="en-US"/>
        </w:rPr>
        <w:t>BJH analysis, which evaluates pores within the 5,000–5,000,000 Å range, estimates a cumulative surface area of 270.30 m²/g, underscoring the mesoporous fraction’s contribution. Pore volume measurements reinforce this trend—single-point adsorption at low relative pressure (p/p° = 0.01) yields a total pore volume of 0.01120 cm³/g for pores below 9,384 Å, closely matching the t-Plot micropore volume (0.01134 cm³/g). However, BJH analysis registers a significantly higher cumulative pore volume (0.17137 cm³/g), indicating a substantial mesopore presence. The average pore width, determined via BJH, is 25.36 Å, positioning the sample squarely in the mesoporous regime.</w:t>
      </w:r>
    </w:p>
    <w:p w:rsidR="00783EC6" w:rsidRPr="00783EC6" w:rsidRDefault="00783EC6" w:rsidP="00102CAF">
      <w:pPr>
        <w:tabs>
          <w:tab w:val="left" w:pos="198"/>
        </w:tabs>
        <w:ind w:firstLine="567"/>
        <w:jc w:val="both"/>
        <w:rPr>
          <w:lang w:val="en-US"/>
        </w:rPr>
      </w:pPr>
      <w:r w:rsidRPr="00783EC6">
        <w:rPr>
          <w:lang w:val="en-US"/>
        </w:rPr>
        <w:lastRenderedPageBreak/>
        <w:t>Further refinement using DFT analysis detects no measurable volume in pores smaller than 13.08 Å, with a total pore volume of 0.16048 cm³/g up to 448.83 Å and a corresponding pore area of 144.32 m²/g for pores above 13.08 Å. This confirms that the majority of the accessible surface area originates from larger pores. The Horvath-Kawazoe method, particularly sensitive to micropores, indicates a dominant micropore width around 12.55 Å, with a maximum pore volume of 0.05082 cm³/g at a relative pressure of 0.15104.</w:t>
      </w:r>
    </w:p>
    <w:p w:rsidR="00783EC6" w:rsidRDefault="00783EC6" w:rsidP="00102CAF">
      <w:pPr>
        <w:tabs>
          <w:tab w:val="left" w:pos="198"/>
        </w:tabs>
        <w:ind w:firstLine="567"/>
        <w:jc w:val="both"/>
        <w:rPr>
          <w:lang w:val="en-US"/>
        </w:rPr>
      </w:pPr>
      <w:r w:rsidRPr="00783EC6">
        <w:rPr>
          <w:lang w:val="en-US"/>
        </w:rPr>
        <w:t>The adsorption isotherm provides insight into the sample’s gas uptake behavior, showing a steady increase in adsorption volume as relative pressure rises</w:t>
      </w:r>
      <w:r w:rsidR="007F4762">
        <w:rPr>
          <w:lang w:val="en-US"/>
        </w:rPr>
        <w:t xml:space="preserve"> (Figure 2.)</w:t>
      </w:r>
      <w:r w:rsidRPr="00783EC6">
        <w:rPr>
          <w:lang w:val="en-US"/>
        </w:rPr>
        <w:t>. While the overall trend follows a smooth uptake, a few later data points display anomalous negative values, likely due to instrumental artifacts rather than actual material behavior.</w:t>
      </w:r>
    </w:p>
    <w:p w:rsidR="007F4762" w:rsidRDefault="007F4762" w:rsidP="007F4762">
      <w:pPr>
        <w:tabs>
          <w:tab w:val="left" w:pos="198"/>
        </w:tabs>
        <w:jc w:val="center"/>
        <w:rPr>
          <w:lang w:val="en-US"/>
        </w:rPr>
      </w:pPr>
      <w:r w:rsidRPr="007F4762">
        <w:rPr>
          <w:lang w:val="en-US"/>
        </w:rPr>
        <w:drawing>
          <wp:inline distT="0" distB="0" distL="0" distR="0" wp14:anchorId="1056F564" wp14:editId="224148BB">
            <wp:extent cx="5939790" cy="5042535"/>
            <wp:effectExtent l="0" t="0" r="3810" b="571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39790" cy="5042535"/>
                    </a:xfrm>
                    <a:prstGeom prst="rect">
                      <a:avLst/>
                    </a:prstGeom>
                  </pic:spPr>
                </pic:pic>
              </a:graphicData>
            </a:graphic>
          </wp:inline>
        </w:drawing>
      </w:r>
    </w:p>
    <w:p w:rsidR="007F4762" w:rsidRPr="007F4762" w:rsidRDefault="007F4762" w:rsidP="007F4762">
      <w:pPr>
        <w:tabs>
          <w:tab w:val="left" w:pos="198"/>
        </w:tabs>
        <w:spacing w:after="120" w:line="276" w:lineRule="auto"/>
        <w:ind w:firstLine="567"/>
        <w:jc w:val="center"/>
        <w:rPr>
          <w:lang w:val="en-US"/>
        </w:rPr>
      </w:pPr>
      <w:r w:rsidRPr="007F4762">
        <w:rPr>
          <w:lang w:val="en-US"/>
        </w:rPr>
        <w:t>Fig.</w:t>
      </w:r>
      <w:r>
        <w:rPr>
          <w:lang w:val="en-US"/>
        </w:rPr>
        <w:t>2</w:t>
      </w:r>
      <w:r>
        <w:rPr>
          <w:lang w:val="en-US"/>
        </w:rPr>
        <w:t xml:space="preserve">. </w:t>
      </w:r>
      <w:r w:rsidR="00DF1043" w:rsidRPr="00DF1043">
        <w:rPr>
          <w:lang w:val="en-US"/>
        </w:rPr>
        <w:t xml:space="preserve">Adsorption isotherm of the KOH-treated </w:t>
      </w:r>
      <w:proofErr w:type="gramStart"/>
      <w:r w:rsidR="00DF1043" w:rsidRPr="00DF1043">
        <w:rPr>
          <w:lang w:val="en-US"/>
        </w:rPr>
        <w:t>sample.</w:t>
      </w:r>
      <w:r w:rsidRPr="007F4762">
        <w:rPr>
          <w:lang w:val="en-US"/>
        </w:rPr>
        <w:t>.</w:t>
      </w:r>
      <w:proofErr w:type="gramEnd"/>
    </w:p>
    <w:p w:rsidR="00783EC6" w:rsidRPr="00783EC6" w:rsidRDefault="00783EC6" w:rsidP="00102CAF">
      <w:pPr>
        <w:tabs>
          <w:tab w:val="left" w:pos="198"/>
        </w:tabs>
        <w:ind w:firstLine="567"/>
        <w:jc w:val="both"/>
        <w:rPr>
          <w:lang w:val="en-US"/>
        </w:rPr>
      </w:pPr>
      <w:r w:rsidRPr="00783EC6">
        <w:rPr>
          <w:lang w:val="en-US"/>
        </w:rPr>
        <w:t>These results confirm that KOH treatment significantly enhances porosity, yielding a material with a well-balanced network of micropores and mesopores. This improved textural profile makes KOH-treated coal fines highly suitable for adsorption, catalysis, and energy-related applications. The increased surface area enhances gas adsorption efficiency, particularly for carbon dioxide and methane capture, making the material valuable for carbon sequestration and energy storage. Its enhanced porosity also makes it an excellent precursor for activated carbon, widely used in water purification, air filtration, and chemical separation processes. Additionally, the material's high surface area makes it an effective support for catalysts in industrial reactions such as hydrocarbon cracking and hydrogen production. Its improved electrical conductivity further suggests applications in energy storage devices, including supercapacitors and lithium-ion batteries.</w:t>
      </w:r>
    </w:p>
    <w:p w:rsidR="00783EC6" w:rsidRPr="00783EC6" w:rsidRDefault="00783EC6" w:rsidP="00102CAF">
      <w:pPr>
        <w:tabs>
          <w:tab w:val="left" w:pos="198"/>
        </w:tabs>
        <w:ind w:firstLine="567"/>
        <w:jc w:val="both"/>
        <w:rPr>
          <w:lang w:val="en-US"/>
        </w:rPr>
      </w:pPr>
      <w:r w:rsidRPr="00783EC6">
        <w:rPr>
          <w:lang w:val="en-US"/>
        </w:rPr>
        <w:lastRenderedPageBreak/>
        <w:t>Future research should focus on the long-term stability, cost-effectiveness, and large-scale feasibility of this treatment method to optimize its industrial application.</w:t>
      </w:r>
    </w:p>
    <w:p w:rsidR="00FD2540" w:rsidRDefault="00315272">
      <w:pPr>
        <w:spacing w:before="120" w:after="120"/>
        <w:jc w:val="center"/>
        <w:rPr>
          <w:b/>
          <w:lang w:val="en-US"/>
        </w:rPr>
      </w:pPr>
      <w:r>
        <w:rPr>
          <w:b/>
        </w:rPr>
        <w:t>Conclusion</w:t>
      </w:r>
      <w:r>
        <w:rPr>
          <w:b/>
          <w:lang w:val="en-US"/>
        </w:rPr>
        <w:t>s</w:t>
      </w:r>
    </w:p>
    <w:p w:rsidR="00916735" w:rsidRPr="00916735" w:rsidRDefault="00916735" w:rsidP="00916735">
      <w:pPr>
        <w:tabs>
          <w:tab w:val="left" w:pos="198"/>
        </w:tabs>
        <w:spacing w:line="276" w:lineRule="auto"/>
        <w:ind w:firstLine="567"/>
        <w:jc w:val="both"/>
        <w:rPr>
          <w:lang w:val="en-US"/>
        </w:rPr>
      </w:pPr>
      <w:r w:rsidRPr="00916735">
        <w:rPr>
          <w:lang w:val="en-US"/>
        </w:rPr>
        <w:t>This study demonstrated that washing coal fines with different solvents significantly alters their textural properties, with potassium hydroxide treatment leading to the most substantial increase in surface area. The observed modifications suggest potential applications in adsorption, filtration, and catalytic industries. Understanding the chemical interactions between coal fines and various solvents provides valuable insights into optimizing the efficiency of coal-based materials for environmental and industrial use. Future research should explore the detailed mechanisms of these modifications and their long-term stability in practical applications.</w:t>
      </w:r>
    </w:p>
    <w:p w:rsidR="00FD2540" w:rsidRPr="00916735" w:rsidRDefault="00FD2540">
      <w:pPr>
        <w:tabs>
          <w:tab w:val="left" w:pos="198"/>
        </w:tabs>
        <w:spacing w:line="276" w:lineRule="auto"/>
        <w:ind w:firstLine="567"/>
        <w:jc w:val="both"/>
        <w:rPr>
          <w:lang w:val="en-US"/>
        </w:rPr>
      </w:pPr>
    </w:p>
    <w:p w:rsidR="00FD2540" w:rsidRDefault="00315272">
      <w:pPr>
        <w:spacing w:before="120" w:after="120"/>
        <w:jc w:val="center"/>
        <w:rPr>
          <w:b/>
          <w:lang w:val="en-US"/>
        </w:rPr>
      </w:pPr>
      <w:r>
        <w:rPr>
          <w:b/>
          <w:lang w:val="en-US"/>
        </w:rPr>
        <w:t>Acknowledgments</w:t>
      </w:r>
    </w:p>
    <w:p w:rsidR="00DF1043" w:rsidRDefault="00DF1043">
      <w:pPr>
        <w:spacing w:before="120" w:after="120"/>
        <w:jc w:val="center"/>
        <w:rPr>
          <w:lang w:val="en-US"/>
        </w:rPr>
      </w:pPr>
      <w:r w:rsidRPr="00DF1043">
        <w:rPr>
          <w:lang w:val="en-US"/>
        </w:rPr>
        <w:t xml:space="preserve">This work was carried out within the framework of the QUEEN project (Grant Agreement No. 101178144), funded by the European Union. </w:t>
      </w:r>
    </w:p>
    <w:p w:rsidR="00FD2540" w:rsidRDefault="00315272">
      <w:pPr>
        <w:spacing w:before="120" w:after="120"/>
        <w:jc w:val="center"/>
        <w:rPr>
          <w:b/>
          <w:lang w:val="en-US"/>
        </w:rPr>
      </w:pPr>
      <w:r>
        <w:rPr>
          <w:b/>
        </w:rPr>
        <w:t>References</w:t>
      </w:r>
    </w:p>
    <w:p w:rsidR="00671FE9" w:rsidRPr="00671FE9" w:rsidRDefault="00671FE9" w:rsidP="00671FE9">
      <w:pPr>
        <w:spacing w:line="276" w:lineRule="auto"/>
        <w:ind w:left="567" w:hanging="567"/>
        <w:jc w:val="both"/>
        <w:rPr>
          <w:lang w:val="en-US"/>
        </w:rPr>
      </w:pPr>
      <w:r>
        <w:rPr>
          <w:lang w:val="en-US"/>
        </w:rPr>
        <w:t>[1]</w:t>
      </w:r>
      <w:r>
        <w:rPr>
          <w:lang w:val="en-US"/>
        </w:rPr>
        <w:tab/>
      </w:r>
      <w:r w:rsidRPr="00671FE9">
        <w:rPr>
          <w:lang w:val="en-US"/>
        </w:rPr>
        <w:t xml:space="preserve">Malekian, </w:t>
      </w:r>
      <w:r>
        <w:rPr>
          <w:lang w:val="en-US"/>
        </w:rPr>
        <w:t xml:space="preserve">F. </w:t>
      </w:r>
      <w:r w:rsidRPr="00671FE9">
        <w:rPr>
          <w:lang w:val="en-US"/>
        </w:rPr>
        <w:t xml:space="preserve">H. </w:t>
      </w:r>
      <w:r w:rsidRPr="00671FE9">
        <w:rPr>
          <w:lang w:val="en-US"/>
        </w:rPr>
        <w:t>Zare</w:t>
      </w:r>
      <w:r w:rsidRPr="00671FE9">
        <w:rPr>
          <w:lang w:val="en-US"/>
        </w:rPr>
        <w:t xml:space="preserve">, </w:t>
      </w:r>
      <w:r>
        <w:rPr>
          <w:lang w:val="en-US"/>
        </w:rPr>
        <w:t xml:space="preserve">G. </w:t>
      </w:r>
      <w:r w:rsidRPr="00671FE9">
        <w:rPr>
          <w:lang w:val="en-US"/>
        </w:rPr>
        <w:t xml:space="preserve">K., </w:t>
      </w:r>
      <w:r w:rsidRPr="00671FE9">
        <w:rPr>
          <w:lang w:val="en-US"/>
        </w:rPr>
        <w:t>Sharif</w:t>
      </w:r>
      <w:r w:rsidRPr="00671FE9">
        <w:rPr>
          <w:lang w:val="en-US"/>
        </w:rPr>
        <w:t xml:space="preserve">, A. A., &amp; </w:t>
      </w:r>
      <w:r w:rsidRPr="00671FE9">
        <w:rPr>
          <w:lang w:val="en-US"/>
        </w:rPr>
        <w:t>Zamani</w:t>
      </w:r>
      <w:r w:rsidRPr="00671FE9">
        <w:rPr>
          <w:lang w:val="en-US"/>
        </w:rPr>
        <w:t xml:space="preserve">, Y. (2019). Surface Characteristics of Different Wood and Coal-Based Activated Carbons for Preparation of Carbon Molecular Sieve. </w:t>
      </w:r>
      <w:r w:rsidRPr="00671FE9">
        <w:rPr>
          <w:i/>
          <w:iCs/>
          <w:lang w:val="en-US"/>
        </w:rPr>
        <w:t>Journal of the Mexican Chemical Society</w:t>
      </w:r>
      <w:r w:rsidRPr="00671FE9">
        <w:rPr>
          <w:lang w:val="en-US"/>
        </w:rPr>
        <w:t xml:space="preserve">, </w:t>
      </w:r>
      <w:r w:rsidRPr="00671FE9">
        <w:rPr>
          <w:i/>
          <w:iCs/>
          <w:lang w:val="en-US"/>
        </w:rPr>
        <w:t>63</w:t>
      </w:r>
      <w:r w:rsidRPr="00671FE9">
        <w:rPr>
          <w:lang w:val="en-US"/>
        </w:rPr>
        <w:t xml:space="preserve">(2). </w:t>
      </w:r>
      <w:r>
        <w:rPr>
          <w:lang w:val="en-US"/>
        </w:rPr>
        <w:t>DOI:</w:t>
      </w:r>
      <w:r>
        <w:rPr>
          <w:lang w:val="en-US"/>
        </w:rPr>
        <w:t xml:space="preserve"> </w:t>
      </w:r>
      <w:r w:rsidRPr="00671FE9">
        <w:rPr>
          <w:lang w:val="en-US"/>
        </w:rPr>
        <w:t>10.29356/</w:t>
      </w:r>
      <w:proofErr w:type="gramStart"/>
      <w:r w:rsidRPr="00671FE9">
        <w:rPr>
          <w:lang w:val="en-US"/>
        </w:rPr>
        <w:t>jmcs.v</w:t>
      </w:r>
      <w:proofErr w:type="gramEnd"/>
      <w:r w:rsidRPr="00671FE9">
        <w:rPr>
          <w:lang w:val="en-US"/>
        </w:rPr>
        <w:t>63i2.666</w:t>
      </w:r>
    </w:p>
    <w:p w:rsidR="00671FE9" w:rsidRDefault="00671FE9" w:rsidP="00671FE9">
      <w:pPr>
        <w:spacing w:line="276" w:lineRule="auto"/>
        <w:ind w:left="567" w:hanging="567"/>
        <w:jc w:val="both"/>
        <w:rPr>
          <w:lang w:val="en-US"/>
        </w:rPr>
      </w:pPr>
      <w:r>
        <w:rPr>
          <w:lang w:val="en-US"/>
        </w:rPr>
        <w:t>[2]</w:t>
      </w:r>
      <w:r>
        <w:rPr>
          <w:lang w:val="en-US"/>
        </w:rPr>
        <w:tab/>
      </w:r>
      <w:r w:rsidRPr="00671FE9">
        <w:rPr>
          <w:lang w:val="en-US"/>
        </w:rPr>
        <w:t xml:space="preserve">Gao, Y., Sun, L., &amp; Tian, Y. (2024). Pyrolysis characteristics and product distribution of low-rank coal with heat-carrying particles adopting TG-FTIR and a novel self-mixing down tube reactor. </w:t>
      </w:r>
      <w:r w:rsidRPr="00671FE9">
        <w:rPr>
          <w:i/>
          <w:iCs/>
          <w:lang w:val="en-US"/>
        </w:rPr>
        <w:t>Case Studies in Thermal Engineering</w:t>
      </w:r>
      <w:r w:rsidRPr="00671FE9">
        <w:rPr>
          <w:lang w:val="en-US"/>
        </w:rPr>
        <w:t xml:space="preserve">, </w:t>
      </w:r>
      <w:r w:rsidRPr="00671FE9">
        <w:rPr>
          <w:i/>
          <w:iCs/>
          <w:lang w:val="en-US"/>
        </w:rPr>
        <w:t>54</w:t>
      </w:r>
      <w:r w:rsidRPr="00671FE9">
        <w:rPr>
          <w:lang w:val="en-US"/>
        </w:rPr>
        <w:t xml:space="preserve">, 104041–104041. </w:t>
      </w:r>
      <w:r>
        <w:rPr>
          <w:lang w:val="en-US"/>
        </w:rPr>
        <w:t>DOI:</w:t>
      </w:r>
      <w:r>
        <w:rPr>
          <w:lang w:val="en-US"/>
        </w:rPr>
        <w:t xml:space="preserve"> </w:t>
      </w:r>
      <w:r w:rsidRPr="00671FE9">
        <w:rPr>
          <w:lang w:val="en-US"/>
        </w:rPr>
        <w:t>10.1016/j.csite.2024.104041</w:t>
      </w:r>
    </w:p>
    <w:p w:rsidR="00102CAF" w:rsidRPr="00671FE9" w:rsidRDefault="00102CAF" w:rsidP="00102CAF">
      <w:pPr>
        <w:spacing w:line="276" w:lineRule="auto"/>
        <w:ind w:left="567" w:hanging="567"/>
        <w:jc w:val="both"/>
        <w:rPr>
          <w:lang w:val="en-US"/>
        </w:rPr>
      </w:pPr>
      <w:r>
        <w:rPr>
          <w:lang w:val="en-US"/>
        </w:rPr>
        <w:t>[3]</w:t>
      </w:r>
      <w:r>
        <w:rPr>
          <w:lang w:val="en-US"/>
        </w:rPr>
        <w:tab/>
      </w:r>
      <w:r w:rsidRPr="00671FE9">
        <w:rPr>
          <w:lang w:val="en-US"/>
        </w:rPr>
        <w:t xml:space="preserve">Wu, R., Beutler, J., Price, C., &amp; Baxter, L. L. (2020). Biomass char particle surface area and porosity dynamics during gasification. </w:t>
      </w:r>
      <w:r w:rsidRPr="00671FE9">
        <w:rPr>
          <w:i/>
          <w:iCs/>
          <w:lang w:val="en-US"/>
        </w:rPr>
        <w:t>Fuel</w:t>
      </w:r>
      <w:r w:rsidRPr="00671FE9">
        <w:rPr>
          <w:lang w:val="en-US"/>
        </w:rPr>
        <w:t xml:space="preserve">, </w:t>
      </w:r>
      <w:r w:rsidRPr="00671FE9">
        <w:rPr>
          <w:i/>
          <w:iCs/>
          <w:lang w:val="en-US"/>
        </w:rPr>
        <w:t>264</w:t>
      </w:r>
      <w:r w:rsidRPr="00671FE9">
        <w:rPr>
          <w:lang w:val="en-US"/>
        </w:rPr>
        <w:t xml:space="preserve">, 116833. </w:t>
      </w:r>
      <w:r>
        <w:rPr>
          <w:lang w:val="en-US"/>
        </w:rPr>
        <w:t xml:space="preserve">DOI: </w:t>
      </w:r>
      <w:r w:rsidRPr="00671FE9">
        <w:rPr>
          <w:lang w:val="en-US"/>
        </w:rPr>
        <w:t>10.1016/j.fuel.2019.116833</w:t>
      </w:r>
    </w:p>
    <w:p w:rsidR="00671FE9" w:rsidRPr="00671FE9" w:rsidRDefault="00671FE9" w:rsidP="00671FE9">
      <w:pPr>
        <w:spacing w:line="276" w:lineRule="auto"/>
        <w:ind w:left="567" w:hanging="567"/>
        <w:jc w:val="both"/>
        <w:rPr>
          <w:lang w:val="en-US"/>
        </w:rPr>
      </w:pPr>
      <w:r>
        <w:rPr>
          <w:lang w:val="en-US"/>
        </w:rPr>
        <w:t>[4]</w:t>
      </w:r>
      <w:r>
        <w:rPr>
          <w:lang w:val="en-US"/>
        </w:rPr>
        <w:tab/>
      </w:r>
      <w:r w:rsidRPr="00671FE9">
        <w:rPr>
          <w:lang w:val="en-US"/>
        </w:rPr>
        <w:t xml:space="preserve">Su, C., Tan, B., Jiang, Y., Song, X., Shao, Z., Liu, B., Gao, L., &amp; Wang, H. (2024). Study on the influence of different acid and alkali environments on the spontaneous combustion properties of coal. </w:t>
      </w:r>
      <w:r w:rsidRPr="00671FE9">
        <w:rPr>
          <w:i/>
          <w:iCs/>
          <w:lang w:val="en-US"/>
        </w:rPr>
        <w:t>Energy</w:t>
      </w:r>
      <w:r w:rsidRPr="00671FE9">
        <w:rPr>
          <w:lang w:val="en-US"/>
        </w:rPr>
        <w:t xml:space="preserve">, </w:t>
      </w:r>
      <w:r w:rsidRPr="00671FE9">
        <w:rPr>
          <w:i/>
          <w:iCs/>
          <w:lang w:val="en-US"/>
        </w:rPr>
        <w:t>293</w:t>
      </w:r>
      <w:r w:rsidRPr="00671FE9">
        <w:rPr>
          <w:lang w:val="en-US"/>
        </w:rPr>
        <w:t xml:space="preserve">, 130525. </w:t>
      </w:r>
      <w:r>
        <w:rPr>
          <w:lang w:val="en-US"/>
        </w:rPr>
        <w:t>DOI:</w:t>
      </w:r>
      <w:r>
        <w:rPr>
          <w:lang w:val="en-US"/>
        </w:rPr>
        <w:t xml:space="preserve"> </w:t>
      </w:r>
      <w:r w:rsidRPr="00671FE9">
        <w:rPr>
          <w:lang w:val="en-US"/>
        </w:rPr>
        <w:t>10.1016/j.energy.2024.130525</w:t>
      </w:r>
    </w:p>
    <w:p w:rsidR="00671FE9" w:rsidRPr="00671FE9" w:rsidRDefault="00671FE9" w:rsidP="00671FE9">
      <w:pPr>
        <w:spacing w:line="276" w:lineRule="auto"/>
        <w:ind w:left="567" w:hanging="567"/>
        <w:jc w:val="both"/>
      </w:pPr>
      <w:r>
        <w:rPr>
          <w:lang w:val="en-US"/>
        </w:rPr>
        <w:t>[5]</w:t>
      </w:r>
      <w:r>
        <w:rPr>
          <w:lang w:val="en-US"/>
        </w:rPr>
        <w:tab/>
      </w:r>
      <w:r w:rsidR="00102CAF" w:rsidRPr="00671FE9">
        <w:rPr>
          <w:lang w:val="en-US"/>
        </w:rPr>
        <w:t xml:space="preserve">Marsh, H., &amp; Rodríguez-Reinoso, F. (2006). Activated Carbon (Origins). </w:t>
      </w:r>
      <w:r w:rsidR="00102CAF" w:rsidRPr="00671FE9">
        <w:rPr>
          <w:i/>
          <w:iCs/>
          <w:lang w:val="en-US"/>
        </w:rPr>
        <w:t>Activated Carbon</w:t>
      </w:r>
      <w:r w:rsidR="00102CAF" w:rsidRPr="00671FE9">
        <w:rPr>
          <w:lang w:val="en-US"/>
        </w:rPr>
        <w:t xml:space="preserve">, 13–86. </w:t>
      </w:r>
      <w:r w:rsidR="00102CAF">
        <w:rPr>
          <w:lang w:val="en-US"/>
        </w:rPr>
        <w:t xml:space="preserve">DOI: </w:t>
      </w:r>
      <w:r w:rsidR="00102CAF" w:rsidRPr="00671FE9">
        <w:rPr>
          <w:lang w:val="en-US"/>
        </w:rPr>
        <w:t>10.1016/b978-008044463-5/50016-9</w:t>
      </w:r>
    </w:p>
    <w:p w:rsidR="00C253FE" w:rsidRDefault="00C253FE">
      <w:pPr>
        <w:spacing w:line="276" w:lineRule="auto"/>
        <w:ind w:left="567" w:hanging="567"/>
        <w:jc w:val="both"/>
        <w:rPr>
          <w:lang w:val="en-US"/>
        </w:rPr>
      </w:pPr>
    </w:p>
    <w:sectPr w:rsidR="00C253FE">
      <w:headerReference w:type="even" r:id="rId10"/>
      <w:headerReference w:type="default" r:id="rId11"/>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144B0" w:rsidRDefault="00C144B0">
      <w:r>
        <w:separator/>
      </w:r>
    </w:p>
  </w:endnote>
  <w:endnote w:type="continuationSeparator" w:id="0">
    <w:p w:rsidR="00C144B0" w:rsidRDefault="00C14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UkrainianJournal">
    <w:altName w:val="AMGDT"/>
    <w:charset w:val="00"/>
    <w:family w:val="swiss"/>
    <w:pitch w:val="default"/>
    <w:sig w:usb0="00000000" w:usb1="00000000" w:usb2="00000000" w:usb3="00000000" w:csb0="00000005" w:csb1="00000000"/>
  </w:font>
  <w:font w:name="DengXian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144B0" w:rsidRDefault="00C144B0">
      <w:r>
        <w:separator/>
      </w:r>
    </w:p>
  </w:footnote>
  <w:footnote w:type="continuationSeparator" w:id="0">
    <w:p w:rsidR="00C144B0" w:rsidRDefault="00C144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D2540" w:rsidRDefault="00315272">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FD2540" w:rsidRDefault="00FD2540">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D2540" w:rsidRDefault="00FD2540">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2DBF3B8D"/>
    <w:multiLevelType w:val="multilevel"/>
    <w:tmpl w:val="88968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4514440"/>
    <w:multiLevelType w:val="multilevel"/>
    <w:tmpl w:val="35A0C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6"/>
  </w:num>
  <w:num w:numId="3">
    <w:abstractNumId w:val="3"/>
  </w:num>
  <w:num w:numId="4">
    <w:abstractNumId w:val="1"/>
  </w:num>
  <w:num w:numId="5">
    <w:abstractNumId w:val="2"/>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515C"/>
    <w:rsid w:val="000E1C10"/>
    <w:rsid w:val="000E2853"/>
    <w:rsid w:val="000E3E99"/>
    <w:rsid w:val="000F0BB8"/>
    <w:rsid w:val="000F2F46"/>
    <w:rsid w:val="000F38C3"/>
    <w:rsid w:val="00101684"/>
    <w:rsid w:val="00102CAF"/>
    <w:rsid w:val="00103045"/>
    <w:rsid w:val="001034A0"/>
    <w:rsid w:val="00104C40"/>
    <w:rsid w:val="0010529B"/>
    <w:rsid w:val="001104BA"/>
    <w:rsid w:val="001141FD"/>
    <w:rsid w:val="00117726"/>
    <w:rsid w:val="0012050E"/>
    <w:rsid w:val="00125C64"/>
    <w:rsid w:val="001320A6"/>
    <w:rsid w:val="00136420"/>
    <w:rsid w:val="0013654C"/>
    <w:rsid w:val="00136B6A"/>
    <w:rsid w:val="0014168B"/>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40AFB"/>
    <w:rsid w:val="00543986"/>
    <w:rsid w:val="0055158A"/>
    <w:rsid w:val="00554EC4"/>
    <w:rsid w:val="00557638"/>
    <w:rsid w:val="005630D6"/>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1FE9"/>
    <w:rsid w:val="0067284D"/>
    <w:rsid w:val="006744D0"/>
    <w:rsid w:val="00681580"/>
    <w:rsid w:val="00681597"/>
    <w:rsid w:val="00684946"/>
    <w:rsid w:val="0068782F"/>
    <w:rsid w:val="00690E96"/>
    <w:rsid w:val="006966A6"/>
    <w:rsid w:val="006A037A"/>
    <w:rsid w:val="006A378C"/>
    <w:rsid w:val="006A5351"/>
    <w:rsid w:val="006A53CD"/>
    <w:rsid w:val="006A54BB"/>
    <w:rsid w:val="006B28EA"/>
    <w:rsid w:val="006B2D32"/>
    <w:rsid w:val="006B6203"/>
    <w:rsid w:val="006B6619"/>
    <w:rsid w:val="006C36AB"/>
    <w:rsid w:val="006C74DD"/>
    <w:rsid w:val="006D2D89"/>
    <w:rsid w:val="006D69AC"/>
    <w:rsid w:val="006E022E"/>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3EC6"/>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4762"/>
    <w:rsid w:val="007F52B5"/>
    <w:rsid w:val="007F57A2"/>
    <w:rsid w:val="00803FD7"/>
    <w:rsid w:val="008115D1"/>
    <w:rsid w:val="0081270E"/>
    <w:rsid w:val="00814284"/>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275B"/>
    <w:rsid w:val="008A5DA9"/>
    <w:rsid w:val="008B0C1E"/>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F88"/>
    <w:rsid w:val="00916735"/>
    <w:rsid w:val="0092227C"/>
    <w:rsid w:val="00924D2F"/>
    <w:rsid w:val="0092580A"/>
    <w:rsid w:val="00931EDE"/>
    <w:rsid w:val="0093408A"/>
    <w:rsid w:val="0093568D"/>
    <w:rsid w:val="009366DA"/>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16DC"/>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25EA"/>
    <w:rsid w:val="00C043E0"/>
    <w:rsid w:val="00C10652"/>
    <w:rsid w:val="00C114F8"/>
    <w:rsid w:val="00C144B0"/>
    <w:rsid w:val="00C211B0"/>
    <w:rsid w:val="00C253FE"/>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1043"/>
    <w:rsid w:val="00DF2F71"/>
    <w:rsid w:val="00DF54E0"/>
    <w:rsid w:val="00E06E65"/>
    <w:rsid w:val="00E070F9"/>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FD7C8E"/>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HTML Variable" w:semiHidden="1" w:unhideWhenUsed="1"/>
    <w:lsdException w:name="Normal Table" w:uiPriority="99"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253FE"/>
    <w:rPr>
      <w:sz w:val="24"/>
      <w:szCs w:val="24"/>
      <w:lang w:val="ru-RU" w:eastAsia="ru-RU"/>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qFormat/>
    <w:rPr>
      <w:color w:val="0000FF"/>
      <w:u w:val="single"/>
    </w:rPr>
  </w:style>
  <w:style w:type="paragraph" w:styleId="aa">
    <w:name w:val="Normal (Web)"/>
    <w:basedOn w:val="a"/>
    <w:uiPriority w:val="99"/>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eastAsia="uk-UA"/>
    </w:rPr>
  </w:style>
  <w:style w:type="paragraph" w:customStyle="1" w:styleId="list10pt1">
    <w:name w:val="Стиль list + 10 pt1"/>
    <w:basedOn w:val="a"/>
    <w:link w:val="list10pt10"/>
    <w:qFormat/>
    <w:pPr>
      <w:numPr>
        <w:numId w:val="3"/>
      </w:numPr>
      <w:jc w:val="both"/>
    </w:pPr>
    <w:rPr>
      <w:sz w:val="20"/>
      <w:szCs w:val="28"/>
      <w:lang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6">
    <w:name w:val="Нижній колонтитул Знак"/>
    <w:link w:val="a5"/>
    <w:uiPriority w:val="99"/>
    <w:rPr>
      <w:lang w:eastAsia="uk-UA"/>
    </w:rPr>
  </w:style>
  <w:style w:type="character" w:styleId="af0">
    <w:name w:val="Emphasis"/>
    <w:basedOn w:val="a0"/>
    <w:uiPriority w:val="20"/>
    <w:qFormat/>
    <w:rsid w:val="00C253F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076935">
      <w:bodyDiv w:val="1"/>
      <w:marLeft w:val="0"/>
      <w:marRight w:val="0"/>
      <w:marTop w:val="0"/>
      <w:marBottom w:val="0"/>
      <w:divBdr>
        <w:top w:val="none" w:sz="0" w:space="0" w:color="auto"/>
        <w:left w:val="none" w:sz="0" w:space="0" w:color="auto"/>
        <w:bottom w:val="none" w:sz="0" w:space="0" w:color="auto"/>
        <w:right w:val="none" w:sz="0" w:space="0" w:color="auto"/>
      </w:divBdr>
    </w:div>
    <w:div w:id="149253469">
      <w:bodyDiv w:val="1"/>
      <w:marLeft w:val="0"/>
      <w:marRight w:val="0"/>
      <w:marTop w:val="0"/>
      <w:marBottom w:val="0"/>
      <w:divBdr>
        <w:top w:val="none" w:sz="0" w:space="0" w:color="auto"/>
        <w:left w:val="none" w:sz="0" w:space="0" w:color="auto"/>
        <w:bottom w:val="none" w:sz="0" w:space="0" w:color="auto"/>
        <w:right w:val="none" w:sz="0" w:space="0" w:color="auto"/>
      </w:divBdr>
    </w:div>
    <w:div w:id="166672721">
      <w:bodyDiv w:val="1"/>
      <w:marLeft w:val="0"/>
      <w:marRight w:val="0"/>
      <w:marTop w:val="0"/>
      <w:marBottom w:val="0"/>
      <w:divBdr>
        <w:top w:val="none" w:sz="0" w:space="0" w:color="auto"/>
        <w:left w:val="none" w:sz="0" w:space="0" w:color="auto"/>
        <w:bottom w:val="none" w:sz="0" w:space="0" w:color="auto"/>
        <w:right w:val="none" w:sz="0" w:space="0" w:color="auto"/>
      </w:divBdr>
    </w:div>
    <w:div w:id="229460784">
      <w:bodyDiv w:val="1"/>
      <w:marLeft w:val="0"/>
      <w:marRight w:val="0"/>
      <w:marTop w:val="0"/>
      <w:marBottom w:val="0"/>
      <w:divBdr>
        <w:top w:val="none" w:sz="0" w:space="0" w:color="auto"/>
        <w:left w:val="none" w:sz="0" w:space="0" w:color="auto"/>
        <w:bottom w:val="none" w:sz="0" w:space="0" w:color="auto"/>
        <w:right w:val="none" w:sz="0" w:space="0" w:color="auto"/>
      </w:divBdr>
    </w:div>
    <w:div w:id="321665117">
      <w:bodyDiv w:val="1"/>
      <w:marLeft w:val="0"/>
      <w:marRight w:val="0"/>
      <w:marTop w:val="0"/>
      <w:marBottom w:val="0"/>
      <w:divBdr>
        <w:top w:val="none" w:sz="0" w:space="0" w:color="auto"/>
        <w:left w:val="none" w:sz="0" w:space="0" w:color="auto"/>
        <w:bottom w:val="none" w:sz="0" w:space="0" w:color="auto"/>
        <w:right w:val="none" w:sz="0" w:space="0" w:color="auto"/>
      </w:divBdr>
    </w:div>
    <w:div w:id="345865130">
      <w:bodyDiv w:val="1"/>
      <w:marLeft w:val="0"/>
      <w:marRight w:val="0"/>
      <w:marTop w:val="0"/>
      <w:marBottom w:val="0"/>
      <w:divBdr>
        <w:top w:val="none" w:sz="0" w:space="0" w:color="auto"/>
        <w:left w:val="none" w:sz="0" w:space="0" w:color="auto"/>
        <w:bottom w:val="none" w:sz="0" w:space="0" w:color="auto"/>
        <w:right w:val="none" w:sz="0" w:space="0" w:color="auto"/>
      </w:divBdr>
    </w:div>
    <w:div w:id="356976499">
      <w:bodyDiv w:val="1"/>
      <w:marLeft w:val="0"/>
      <w:marRight w:val="0"/>
      <w:marTop w:val="0"/>
      <w:marBottom w:val="0"/>
      <w:divBdr>
        <w:top w:val="none" w:sz="0" w:space="0" w:color="auto"/>
        <w:left w:val="none" w:sz="0" w:space="0" w:color="auto"/>
        <w:bottom w:val="none" w:sz="0" w:space="0" w:color="auto"/>
        <w:right w:val="none" w:sz="0" w:space="0" w:color="auto"/>
      </w:divBdr>
    </w:div>
    <w:div w:id="367218056">
      <w:bodyDiv w:val="1"/>
      <w:marLeft w:val="0"/>
      <w:marRight w:val="0"/>
      <w:marTop w:val="0"/>
      <w:marBottom w:val="0"/>
      <w:divBdr>
        <w:top w:val="none" w:sz="0" w:space="0" w:color="auto"/>
        <w:left w:val="none" w:sz="0" w:space="0" w:color="auto"/>
        <w:bottom w:val="none" w:sz="0" w:space="0" w:color="auto"/>
        <w:right w:val="none" w:sz="0" w:space="0" w:color="auto"/>
      </w:divBdr>
    </w:div>
    <w:div w:id="394015735">
      <w:bodyDiv w:val="1"/>
      <w:marLeft w:val="0"/>
      <w:marRight w:val="0"/>
      <w:marTop w:val="0"/>
      <w:marBottom w:val="0"/>
      <w:divBdr>
        <w:top w:val="none" w:sz="0" w:space="0" w:color="auto"/>
        <w:left w:val="none" w:sz="0" w:space="0" w:color="auto"/>
        <w:bottom w:val="none" w:sz="0" w:space="0" w:color="auto"/>
        <w:right w:val="none" w:sz="0" w:space="0" w:color="auto"/>
      </w:divBdr>
    </w:div>
    <w:div w:id="427626304">
      <w:bodyDiv w:val="1"/>
      <w:marLeft w:val="0"/>
      <w:marRight w:val="0"/>
      <w:marTop w:val="0"/>
      <w:marBottom w:val="0"/>
      <w:divBdr>
        <w:top w:val="none" w:sz="0" w:space="0" w:color="auto"/>
        <w:left w:val="none" w:sz="0" w:space="0" w:color="auto"/>
        <w:bottom w:val="none" w:sz="0" w:space="0" w:color="auto"/>
        <w:right w:val="none" w:sz="0" w:space="0" w:color="auto"/>
      </w:divBdr>
    </w:div>
    <w:div w:id="475412681">
      <w:bodyDiv w:val="1"/>
      <w:marLeft w:val="0"/>
      <w:marRight w:val="0"/>
      <w:marTop w:val="0"/>
      <w:marBottom w:val="0"/>
      <w:divBdr>
        <w:top w:val="none" w:sz="0" w:space="0" w:color="auto"/>
        <w:left w:val="none" w:sz="0" w:space="0" w:color="auto"/>
        <w:bottom w:val="none" w:sz="0" w:space="0" w:color="auto"/>
        <w:right w:val="none" w:sz="0" w:space="0" w:color="auto"/>
      </w:divBdr>
    </w:div>
    <w:div w:id="514618754">
      <w:bodyDiv w:val="1"/>
      <w:marLeft w:val="0"/>
      <w:marRight w:val="0"/>
      <w:marTop w:val="0"/>
      <w:marBottom w:val="0"/>
      <w:divBdr>
        <w:top w:val="none" w:sz="0" w:space="0" w:color="auto"/>
        <w:left w:val="none" w:sz="0" w:space="0" w:color="auto"/>
        <w:bottom w:val="none" w:sz="0" w:space="0" w:color="auto"/>
        <w:right w:val="none" w:sz="0" w:space="0" w:color="auto"/>
      </w:divBdr>
    </w:div>
    <w:div w:id="861868562">
      <w:bodyDiv w:val="1"/>
      <w:marLeft w:val="0"/>
      <w:marRight w:val="0"/>
      <w:marTop w:val="0"/>
      <w:marBottom w:val="0"/>
      <w:divBdr>
        <w:top w:val="none" w:sz="0" w:space="0" w:color="auto"/>
        <w:left w:val="none" w:sz="0" w:space="0" w:color="auto"/>
        <w:bottom w:val="none" w:sz="0" w:space="0" w:color="auto"/>
        <w:right w:val="none" w:sz="0" w:space="0" w:color="auto"/>
      </w:divBdr>
    </w:div>
    <w:div w:id="1043747670">
      <w:bodyDiv w:val="1"/>
      <w:marLeft w:val="0"/>
      <w:marRight w:val="0"/>
      <w:marTop w:val="0"/>
      <w:marBottom w:val="0"/>
      <w:divBdr>
        <w:top w:val="none" w:sz="0" w:space="0" w:color="auto"/>
        <w:left w:val="none" w:sz="0" w:space="0" w:color="auto"/>
        <w:bottom w:val="none" w:sz="0" w:space="0" w:color="auto"/>
        <w:right w:val="none" w:sz="0" w:space="0" w:color="auto"/>
      </w:divBdr>
    </w:div>
    <w:div w:id="1154418237">
      <w:bodyDiv w:val="1"/>
      <w:marLeft w:val="0"/>
      <w:marRight w:val="0"/>
      <w:marTop w:val="0"/>
      <w:marBottom w:val="0"/>
      <w:divBdr>
        <w:top w:val="none" w:sz="0" w:space="0" w:color="auto"/>
        <w:left w:val="none" w:sz="0" w:space="0" w:color="auto"/>
        <w:bottom w:val="none" w:sz="0" w:space="0" w:color="auto"/>
        <w:right w:val="none" w:sz="0" w:space="0" w:color="auto"/>
      </w:divBdr>
    </w:div>
    <w:div w:id="1212695687">
      <w:bodyDiv w:val="1"/>
      <w:marLeft w:val="0"/>
      <w:marRight w:val="0"/>
      <w:marTop w:val="0"/>
      <w:marBottom w:val="0"/>
      <w:divBdr>
        <w:top w:val="none" w:sz="0" w:space="0" w:color="auto"/>
        <w:left w:val="none" w:sz="0" w:space="0" w:color="auto"/>
        <w:bottom w:val="none" w:sz="0" w:space="0" w:color="auto"/>
        <w:right w:val="none" w:sz="0" w:space="0" w:color="auto"/>
      </w:divBdr>
    </w:div>
    <w:div w:id="1377120361">
      <w:bodyDiv w:val="1"/>
      <w:marLeft w:val="0"/>
      <w:marRight w:val="0"/>
      <w:marTop w:val="0"/>
      <w:marBottom w:val="0"/>
      <w:divBdr>
        <w:top w:val="none" w:sz="0" w:space="0" w:color="auto"/>
        <w:left w:val="none" w:sz="0" w:space="0" w:color="auto"/>
        <w:bottom w:val="none" w:sz="0" w:space="0" w:color="auto"/>
        <w:right w:val="none" w:sz="0" w:space="0" w:color="auto"/>
      </w:divBdr>
    </w:div>
    <w:div w:id="1442726553">
      <w:bodyDiv w:val="1"/>
      <w:marLeft w:val="0"/>
      <w:marRight w:val="0"/>
      <w:marTop w:val="0"/>
      <w:marBottom w:val="0"/>
      <w:divBdr>
        <w:top w:val="none" w:sz="0" w:space="0" w:color="auto"/>
        <w:left w:val="none" w:sz="0" w:space="0" w:color="auto"/>
        <w:bottom w:val="none" w:sz="0" w:space="0" w:color="auto"/>
        <w:right w:val="none" w:sz="0" w:space="0" w:color="auto"/>
      </w:divBdr>
    </w:div>
    <w:div w:id="1544713386">
      <w:bodyDiv w:val="1"/>
      <w:marLeft w:val="0"/>
      <w:marRight w:val="0"/>
      <w:marTop w:val="0"/>
      <w:marBottom w:val="0"/>
      <w:divBdr>
        <w:top w:val="none" w:sz="0" w:space="0" w:color="auto"/>
        <w:left w:val="none" w:sz="0" w:space="0" w:color="auto"/>
        <w:bottom w:val="none" w:sz="0" w:space="0" w:color="auto"/>
        <w:right w:val="none" w:sz="0" w:space="0" w:color="auto"/>
      </w:divBdr>
    </w:div>
    <w:div w:id="1654068653">
      <w:bodyDiv w:val="1"/>
      <w:marLeft w:val="0"/>
      <w:marRight w:val="0"/>
      <w:marTop w:val="0"/>
      <w:marBottom w:val="0"/>
      <w:divBdr>
        <w:top w:val="none" w:sz="0" w:space="0" w:color="auto"/>
        <w:left w:val="none" w:sz="0" w:space="0" w:color="auto"/>
        <w:bottom w:val="none" w:sz="0" w:space="0" w:color="auto"/>
        <w:right w:val="none" w:sz="0" w:space="0" w:color="auto"/>
      </w:divBdr>
    </w:div>
    <w:div w:id="1741638413">
      <w:bodyDiv w:val="1"/>
      <w:marLeft w:val="0"/>
      <w:marRight w:val="0"/>
      <w:marTop w:val="0"/>
      <w:marBottom w:val="0"/>
      <w:divBdr>
        <w:top w:val="none" w:sz="0" w:space="0" w:color="auto"/>
        <w:left w:val="none" w:sz="0" w:space="0" w:color="auto"/>
        <w:bottom w:val="none" w:sz="0" w:space="0" w:color="auto"/>
        <w:right w:val="none" w:sz="0" w:space="0" w:color="auto"/>
      </w:divBdr>
    </w:div>
    <w:div w:id="1770659490">
      <w:bodyDiv w:val="1"/>
      <w:marLeft w:val="0"/>
      <w:marRight w:val="0"/>
      <w:marTop w:val="0"/>
      <w:marBottom w:val="0"/>
      <w:divBdr>
        <w:top w:val="none" w:sz="0" w:space="0" w:color="auto"/>
        <w:left w:val="none" w:sz="0" w:space="0" w:color="auto"/>
        <w:bottom w:val="none" w:sz="0" w:space="0" w:color="auto"/>
        <w:right w:val="none" w:sz="0" w:space="0" w:color="auto"/>
      </w:divBdr>
      <w:divsChild>
        <w:div w:id="1894852950">
          <w:marLeft w:val="-720"/>
          <w:marRight w:val="0"/>
          <w:marTop w:val="0"/>
          <w:marBottom w:val="0"/>
          <w:divBdr>
            <w:top w:val="none" w:sz="0" w:space="0" w:color="auto"/>
            <w:left w:val="none" w:sz="0" w:space="0" w:color="auto"/>
            <w:bottom w:val="none" w:sz="0" w:space="0" w:color="auto"/>
            <w:right w:val="none" w:sz="0" w:space="0" w:color="auto"/>
          </w:divBdr>
        </w:div>
      </w:divsChild>
    </w:div>
    <w:div w:id="1845166520">
      <w:bodyDiv w:val="1"/>
      <w:marLeft w:val="0"/>
      <w:marRight w:val="0"/>
      <w:marTop w:val="0"/>
      <w:marBottom w:val="0"/>
      <w:divBdr>
        <w:top w:val="none" w:sz="0" w:space="0" w:color="auto"/>
        <w:left w:val="none" w:sz="0" w:space="0" w:color="auto"/>
        <w:bottom w:val="none" w:sz="0" w:space="0" w:color="auto"/>
        <w:right w:val="none" w:sz="0" w:space="0" w:color="auto"/>
      </w:divBdr>
    </w:div>
    <w:div w:id="1950811872">
      <w:bodyDiv w:val="1"/>
      <w:marLeft w:val="0"/>
      <w:marRight w:val="0"/>
      <w:marTop w:val="0"/>
      <w:marBottom w:val="0"/>
      <w:divBdr>
        <w:top w:val="none" w:sz="0" w:space="0" w:color="auto"/>
        <w:left w:val="none" w:sz="0" w:space="0" w:color="auto"/>
        <w:bottom w:val="none" w:sz="0" w:space="0" w:color="auto"/>
        <w:right w:val="none" w:sz="0" w:space="0" w:color="auto"/>
      </w:divBdr>
    </w:div>
    <w:div w:id="2032030049">
      <w:bodyDiv w:val="1"/>
      <w:marLeft w:val="0"/>
      <w:marRight w:val="0"/>
      <w:marTop w:val="0"/>
      <w:marBottom w:val="0"/>
      <w:divBdr>
        <w:top w:val="none" w:sz="0" w:space="0" w:color="auto"/>
        <w:left w:val="none" w:sz="0" w:space="0" w:color="auto"/>
        <w:bottom w:val="none" w:sz="0" w:space="0" w:color="auto"/>
        <w:right w:val="none" w:sz="0" w:space="0" w:color="auto"/>
      </w:divBdr>
    </w:div>
    <w:div w:id="2078700210">
      <w:bodyDiv w:val="1"/>
      <w:marLeft w:val="0"/>
      <w:marRight w:val="0"/>
      <w:marTop w:val="0"/>
      <w:marBottom w:val="0"/>
      <w:divBdr>
        <w:top w:val="none" w:sz="0" w:space="0" w:color="auto"/>
        <w:left w:val="none" w:sz="0" w:space="0" w:color="auto"/>
        <w:bottom w:val="none" w:sz="0" w:space="0" w:color="auto"/>
        <w:right w:val="none" w:sz="0" w:space="0" w:color="auto"/>
      </w:divBdr>
    </w:div>
    <w:div w:id="2080249824">
      <w:bodyDiv w:val="1"/>
      <w:marLeft w:val="0"/>
      <w:marRight w:val="0"/>
      <w:marTop w:val="0"/>
      <w:marBottom w:val="0"/>
      <w:divBdr>
        <w:top w:val="none" w:sz="0" w:space="0" w:color="auto"/>
        <w:left w:val="none" w:sz="0" w:space="0" w:color="auto"/>
        <w:bottom w:val="none" w:sz="0" w:space="0" w:color="auto"/>
        <w:right w:val="none" w:sz="0" w:space="0" w:color="auto"/>
      </w:divBdr>
    </w:div>
    <w:div w:id="21391021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2B079D-2A4C-4902-8018-2D26AE4E1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1989</Words>
  <Characters>11838</Characters>
  <Application>Microsoft Office Word</Application>
  <DocSecurity>0</DocSecurity>
  <Lines>303</Lines>
  <Paragraphs>189</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13638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asus</cp:lastModifiedBy>
  <cp:revision>2</cp:revision>
  <cp:lastPrinted>2010-05-30T09:50:00Z</cp:lastPrinted>
  <dcterms:created xsi:type="dcterms:W3CDTF">2025-03-10T15:46:00Z</dcterms:created>
  <dcterms:modified xsi:type="dcterms:W3CDTF">2025-03-10T15:46:00Z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