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CF3150" w14:textId="0FCB7596" w:rsidR="000A0B83" w:rsidRPr="00B37594" w:rsidRDefault="00B8528A">
      <w:pPr>
        <w:pStyle w:val="MainTitle"/>
        <w:spacing w:line="276" w:lineRule="auto"/>
        <w:rPr>
          <w:sz w:val="28"/>
          <w:szCs w:val="28"/>
          <w:lang w:val="en-US"/>
        </w:rPr>
      </w:pPr>
      <w:r>
        <w:rPr>
          <w:sz w:val="28"/>
          <w:szCs w:val="28"/>
          <w:lang w:val="en-US"/>
        </w:rPr>
        <w:t>The A</w:t>
      </w:r>
      <w:r w:rsidR="004712AF" w:rsidRPr="00B37594">
        <w:rPr>
          <w:sz w:val="28"/>
          <w:szCs w:val="28"/>
          <w:lang w:val="en-US"/>
        </w:rPr>
        <w:t xml:space="preserve">nalysis of </w:t>
      </w:r>
      <w:r>
        <w:rPr>
          <w:sz w:val="28"/>
          <w:szCs w:val="28"/>
          <w:lang w:val="en-US"/>
        </w:rPr>
        <w:t>G</w:t>
      </w:r>
      <w:r w:rsidR="004712AF" w:rsidRPr="00B37594">
        <w:rPr>
          <w:sz w:val="28"/>
          <w:szCs w:val="28"/>
          <w:lang w:val="en-US"/>
        </w:rPr>
        <w:t xml:space="preserve">reen </w:t>
      </w:r>
      <w:r>
        <w:rPr>
          <w:sz w:val="28"/>
          <w:szCs w:val="28"/>
          <w:lang w:val="en-US"/>
        </w:rPr>
        <w:t>M</w:t>
      </w:r>
      <w:r w:rsidR="004712AF" w:rsidRPr="00B37594">
        <w:rPr>
          <w:sz w:val="28"/>
          <w:szCs w:val="28"/>
          <w:lang w:val="en-US"/>
        </w:rPr>
        <w:t xml:space="preserve">etrics </w:t>
      </w:r>
      <w:r>
        <w:rPr>
          <w:sz w:val="28"/>
          <w:szCs w:val="28"/>
          <w:lang w:val="en-US"/>
        </w:rPr>
        <w:t>I</w:t>
      </w:r>
      <w:r w:rsidR="004712AF" w:rsidRPr="00B37594">
        <w:rPr>
          <w:sz w:val="28"/>
          <w:szCs w:val="28"/>
          <w:lang w:val="en-US"/>
        </w:rPr>
        <w:t xml:space="preserve">ndices of </w:t>
      </w:r>
      <w:r>
        <w:rPr>
          <w:sz w:val="28"/>
          <w:szCs w:val="28"/>
          <w:lang w:val="en-US"/>
        </w:rPr>
        <w:t>C</w:t>
      </w:r>
      <w:r w:rsidR="004712AF" w:rsidRPr="00B37594">
        <w:rPr>
          <w:sz w:val="28"/>
          <w:szCs w:val="28"/>
          <w:lang w:val="en-US"/>
        </w:rPr>
        <w:t xml:space="preserve">hemical </w:t>
      </w:r>
      <w:r>
        <w:rPr>
          <w:sz w:val="28"/>
          <w:szCs w:val="28"/>
          <w:lang w:val="en-US"/>
        </w:rPr>
        <w:t>T</w:t>
      </w:r>
      <w:r w:rsidR="004712AF" w:rsidRPr="00B37594">
        <w:rPr>
          <w:sz w:val="28"/>
          <w:szCs w:val="28"/>
          <w:lang w:val="en-US"/>
        </w:rPr>
        <w:t>echnologies</w:t>
      </w:r>
      <w:r>
        <w:rPr>
          <w:sz w:val="28"/>
          <w:szCs w:val="28"/>
          <w:lang w:val="en-US"/>
        </w:rPr>
        <w:t>: Accountability of Environmental Performance and Sustainability Assessments</w:t>
      </w:r>
    </w:p>
    <w:p w14:paraId="7FA38DA5" w14:textId="6949ECFC" w:rsidR="000A0B83" w:rsidRPr="00537403" w:rsidRDefault="004712AF">
      <w:pPr>
        <w:pStyle w:val="Author"/>
        <w:spacing w:line="276" w:lineRule="auto"/>
        <w:rPr>
          <w:sz w:val="26"/>
          <w:szCs w:val="26"/>
          <w:lang w:val="en-US"/>
        </w:rPr>
      </w:pPr>
      <w:r w:rsidRPr="00537403">
        <w:rPr>
          <w:sz w:val="26"/>
          <w:szCs w:val="26"/>
          <w:u w:val="single"/>
          <w:lang w:val="en-US"/>
        </w:rPr>
        <w:t>Marharyta Radomska</w:t>
      </w:r>
      <w:r w:rsidRPr="00537403">
        <w:rPr>
          <w:sz w:val="26"/>
          <w:szCs w:val="26"/>
          <w:vertAlign w:val="superscript"/>
          <w:lang w:val="en-US"/>
        </w:rPr>
        <w:t>1</w:t>
      </w:r>
      <w:r w:rsidRPr="00537403">
        <w:rPr>
          <w:sz w:val="26"/>
          <w:szCs w:val="26"/>
          <w:lang w:val="en-US"/>
        </w:rPr>
        <w:t xml:space="preserve">, </w:t>
      </w:r>
      <w:r w:rsidR="00537403" w:rsidRPr="00537403">
        <w:rPr>
          <w:sz w:val="26"/>
          <w:szCs w:val="26"/>
          <w:lang w:val="en-US"/>
        </w:rPr>
        <w:t>Oksana Tykhenko</w:t>
      </w:r>
      <w:r w:rsidRPr="00537403">
        <w:rPr>
          <w:sz w:val="26"/>
          <w:szCs w:val="26"/>
          <w:vertAlign w:val="superscript"/>
          <w:lang w:val="en-US"/>
        </w:rPr>
        <w:t>2</w:t>
      </w:r>
    </w:p>
    <w:p w14:paraId="407DED00" w14:textId="77777777" w:rsidR="000A0B83" w:rsidRPr="00537403" w:rsidRDefault="004712AF">
      <w:pPr>
        <w:pStyle w:val="Affilation"/>
        <w:spacing w:line="276" w:lineRule="auto"/>
        <w:rPr>
          <w:sz w:val="20"/>
          <w:lang w:val="en-US"/>
        </w:rPr>
      </w:pPr>
      <w:r w:rsidRPr="00537403">
        <w:rPr>
          <w:sz w:val="20"/>
          <w:lang w:val="en-US"/>
        </w:rPr>
        <w:t>1. Department of Environmental Science, State university “Kyiv Aviation Institute”, UKRAINE, Kyiv,                L.Huzar Ave., 1, E-mail: m.m.radomskaya@gmail.com</w:t>
      </w:r>
    </w:p>
    <w:p w14:paraId="39F9EECB" w14:textId="3D2EC5E5" w:rsidR="000A0B83" w:rsidRPr="00B37594" w:rsidRDefault="004712AF">
      <w:pPr>
        <w:pStyle w:val="Affilation"/>
        <w:spacing w:line="276" w:lineRule="auto"/>
        <w:rPr>
          <w:sz w:val="20"/>
          <w:lang w:val="en-US"/>
        </w:rPr>
      </w:pPr>
      <w:r w:rsidRPr="00537403">
        <w:rPr>
          <w:sz w:val="20"/>
          <w:lang w:val="en-US"/>
        </w:rPr>
        <w:t xml:space="preserve">2. </w:t>
      </w:r>
      <w:r w:rsidR="00537403" w:rsidRPr="00537403">
        <w:rPr>
          <w:sz w:val="20"/>
          <w:lang w:val="en-US"/>
        </w:rPr>
        <w:t xml:space="preserve">Department of Environmental Science, State university “Kyiv Aviation Institute”, UKRAINE, </w:t>
      </w:r>
      <w:proofErr w:type="gramStart"/>
      <w:r w:rsidR="00537403" w:rsidRPr="00537403">
        <w:rPr>
          <w:sz w:val="20"/>
          <w:lang w:val="en-US"/>
        </w:rPr>
        <w:t>Kyiv,</w:t>
      </w:r>
      <w:r w:rsidR="00537403" w:rsidRPr="00B37594">
        <w:rPr>
          <w:sz w:val="20"/>
          <w:lang w:val="en-US"/>
        </w:rPr>
        <w:t xml:space="preserve">   </w:t>
      </w:r>
      <w:proofErr w:type="gramEnd"/>
      <w:r w:rsidR="00537403" w:rsidRPr="00B37594">
        <w:rPr>
          <w:sz w:val="20"/>
          <w:lang w:val="en-US"/>
        </w:rPr>
        <w:t xml:space="preserve">             L.Huzar Ave., 1, E-mail:</w:t>
      </w:r>
      <w:r w:rsidR="00537403">
        <w:rPr>
          <w:sz w:val="20"/>
          <w:lang w:val="en-US"/>
        </w:rPr>
        <w:t xml:space="preserve"> </w:t>
      </w:r>
      <w:r w:rsidR="00790048" w:rsidRPr="00790048">
        <w:rPr>
          <w:sz w:val="20"/>
          <w:lang w:val="en-US"/>
        </w:rPr>
        <w:t>oksana.tykhenko@npp.</w:t>
      </w:r>
      <w:r w:rsidR="00DB3784">
        <w:rPr>
          <w:sz w:val="20"/>
          <w:lang w:val="en-US"/>
        </w:rPr>
        <w:t>kai</w:t>
      </w:r>
      <w:r w:rsidR="00790048" w:rsidRPr="00790048">
        <w:rPr>
          <w:sz w:val="20"/>
          <w:lang w:val="en-US"/>
        </w:rPr>
        <w:t>.edu.ua</w:t>
      </w:r>
    </w:p>
    <w:p w14:paraId="444ABAC3" w14:textId="02BE49A4" w:rsidR="000A0B83" w:rsidRPr="00B37594" w:rsidRDefault="004712AF">
      <w:pPr>
        <w:pStyle w:val="Abstract"/>
        <w:spacing w:after="120" w:line="276" w:lineRule="auto"/>
        <w:ind w:firstLine="0"/>
        <w:rPr>
          <w:sz w:val="22"/>
          <w:szCs w:val="22"/>
          <w:lang w:val="en-US"/>
        </w:rPr>
      </w:pPr>
      <w:r w:rsidRPr="00B37594">
        <w:rPr>
          <w:sz w:val="22"/>
          <w:szCs w:val="22"/>
          <w:lang w:val="en-US"/>
        </w:rPr>
        <w:t xml:space="preserve">Abstract. </w:t>
      </w:r>
      <w:r w:rsidR="00537403">
        <w:rPr>
          <w:sz w:val="22"/>
          <w:szCs w:val="22"/>
          <w:lang w:val="en-US"/>
        </w:rPr>
        <w:t>The green metrics plays an important role in making the way towards sustainability of chemical industry</w:t>
      </w:r>
      <w:r w:rsidRPr="00B37594">
        <w:rPr>
          <w:sz w:val="22"/>
          <w:szCs w:val="22"/>
          <w:shd w:val="clear" w:color="auto" w:fill="FFFFFF"/>
          <w:lang w:val="en-US"/>
        </w:rPr>
        <w:t>.</w:t>
      </w:r>
      <w:r w:rsidR="00537403">
        <w:rPr>
          <w:sz w:val="22"/>
          <w:szCs w:val="22"/>
          <w:shd w:val="clear" w:color="auto" w:fill="FFFFFF"/>
          <w:lang w:val="en-US"/>
        </w:rPr>
        <w:t xml:space="preserve"> The </w:t>
      </w:r>
      <w:r w:rsidR="008D4E9F">
        <w:rPr>
          <w:sz w:val="22"/>
          <w:szCs w:val="22"/>
          <w:shd w:val="clear" w:color="auto" w:fill="FFFFFF"/>
          <w:lang w:val="en-US"/>
        </w:rPr>
        <w:t>known</w:t>
      </w:r>
      <w:r w:rsidR="00537403">
        <w:rPr>
          <w:sz w:val="22"/>
          <w:szCs w:val="22"/>
          <w:shd w:val="clear" w:color="auto" w:fill="FFFFFF"/>
          <w:lang w:val="en-US"/>
        </w:rPr>
        <w:t xml:space="preserve"> indices were considered in terms of environmental and </w:t>
      </w:r>
      <w:proofErr w:type="gramStart"/>
      <w:r w:rsidR="008D4E9F">
        <w:rPr>
          <w:sz w:val="22"/>
          <w:szCs w:val="22"/>
          <w:shd w:val="clear" w:color="auto" w:fill="FFFFFF"/>
          <w:lang w:val="en-US"/>
        </w:rPr>
        <w:t>sustainability</w:t>
      </w:r>
      <w:r w:rsidR="00537403">
        <w:rPr>
          <w:sz w:val="22"/>
          <w:szCs w:val="22"/>
          <w:shd w:val="clear" w:color="auto" w:fill="FFFFFF"/>
          <w:lang w:val="en-US"/>
        </w:rPr>
        <w:t xml:space="preserve"> </w:t>
      </w:r>
      <w:r w:rsidR="00443D41">
        <w:rPr>
          <w:sz w:val="22"/>
          <w:szCs w:val="22"/>
          <w:shd w:val="clear" w:color="auto" w:fill="FFFFFF"/>
          <w:lang w:val="en-US"/>
        </w:rPr>
        <w:t xml:space="preserve"> input</w:t>
      </w:r>
      <w:proofErr w:type="gramEnd"/>
      <w:r w:rsidR="00537403">
        <w:rPr>
          <w:sz w:val="22"/>
          <w:szCs w:val="22"/>
          <w:shd w:val="clear" w:color="auto" w:fill="FFFFFF"/>
          <w:lang w:val="en-US"/>
        </w:rPr>
        <w:t xml:space="preserve">. The results of analysis demonstrate the need for more complex types of metrics to incorporate elements of life cycle assessment, </w:t>
      </w:r>
      <w:r w:rsidR="008D4E9F">
        <w:rPr>
          <w:sz w:val="22"/>
          <w:szCs w:val="22"/>
          <w:shd w:val="clear" w:color="auto" w:fill="FFFFFF"/>
          <w:lang w:val="en-US"/>
        </w:rPr>
        <w:t>specific environmental effects and ecological footprint.</w:t>
      </w:r>
    </w:p>
    <w:p w14:paraId="01EB9C97" w14:textId="57EFFAB7" w:rsidR="000A0B83" w:rsidRPr="00B37594" w:rsidRDefault="004712AF">
      <w:pPr>
        <w:pStyle w:val="IndexTerms"/>
        <w:spacing w:line="276" w:lineRule="auto"/>
        <w:ind w:firstLine="0"/>
        <w:rPr>
          <w:sz w:val="22"/>
          <w:szCs w:val="22"/>
          <w:lang w:val="en-US"/>
        </w:rPr>
      </w:pPr>
      <w:proofErr w:type="spellStart"/>
      <w:r w:rsidRPr="00B37594">
        <w:rPr>
          <w:sz w:val="22"/>
          <w:szCs w:val="22"/>
          <w:lang w:val="en-US"/>
        </w:rPr>
        <w:t>Кеуwords</w:t>
      </w:r>
      <w:proofErr w:type="spellEnd"/>
      <w:r w:rsidRPr="00B37594">
        <w:rPr>
          <w:sz w:val="22"/>
          <w:szCs w:val="22"/>
          <w:lang w:val="en-US"/>
        </w:rPr>
        <w:t xml:space="preserve">: </w:t>
      </w:r>
      <w:r w:rsidR="000F6222">
        <w:rPr>
          <w:sz w:val="22"/>
          <w:szCs w:val="22"/>
          <w:lang w:val="en-US"/>
        </w:rPr>
        <w:t xml:space="preserve">reaction efficiency, </w:t>
      </w:r>
      <w:r w:rsidR="00E11020">
        <w:rPr>
          <w:sz w:val="22"/>
          <w:szCs w:val="22"/>
          <w:lang w:val="en-US"/>
        </w:rPr>
        <w:t xml:space="preserve">environmental impacts, </w:t>
      </w:r>
      <w:r w:rsidR="000F6222">
        <w:rPr>
          <w:sz w:val="22"/>
          <w:szCs w:val="22"/>
          <w:lang w:val="en-US"/>
        </w:rPr>
        <w:t>environmental performance, sustainability principles, circularity, ecological footprint</w:t>
      </w:r>
      <w:r w:rsidRPr="00B37594">
        <w:rPr>
          <w:sz w:val="22"/>
          <w:szCs w:val="22"/>
          <w:lang w:val="en-US"/>
        </w:rPr>
        <w:t>.</w:t>
      </w:r>
    </w:p>
    <w:p w14:paraId="46E306DA" w14:textId="77777777" w:rsidR="000A0B83" w:rsidRPr="00B37594" w:rsidRDefault="004712AF">
      <w:pPr>
        <w:spacing w:after="120"/>
        <w:jc w:val="center"/>
        <w:rPr>
          <w:b/>
          <w:lang w:val="en-US"/>
        </w:rPr>
      </w:pPr>
      <w:r w:rsidRPr="00B37594">
        <w:rPr>
          <w:b/>
          <w:lang w:val="en-US"/>
        </w:rPr>
        <w:t xml:space="preserve">Introduction </w:t>
      </w:r>
    </w:p>
    <w:p w14:paraId="0E8AA34E" w14:textId="15ECBB99" w:rsidR="000A0B83" w:rsidRPr="00B37594" w:rsidRDefault="004712AF">
      <w:pPr>
        <w:tabs>
          <w:tab w:val="left" w:pos="198"/>
        </w:tabs>
        <w:spacing w:line="276" w:lineRule="auto"/>
        <w:ind w:firstLine="567"/>
        <w:jc w:val="both"/>
        <w:rPr>
          <w:lang w:val="en-US"/>
        </w:rPr>
      </w:pPr>
      <w:r w:rsidRPr="00B37594">
        <w:rPr>
          <w:lang w:val="en-US"/>
        </w:rPr>
        <w:t xml:space="preserve">A metric is a system to provide qualitative and </w:t>
      </w:r>
      <w:r w:rsidR="00DE2EAD" w:rsidRPr="00B37594">
        <w:rPr>
          <w:lang w:val="en-US"/>
        </w:rPr>
        <w:t>quantitate</w:t>
      </w:r>
      <w:r w:rsidRPr="00B37594">
        <w:rPr>
          <w:lang w:val="en-US"/>
        </w:rPr>
        <w:t xml:space="preserve"> evaluation of processes and activities. The choice of metrics depends on the purpose of evaluation, which means that it is developed to make decisions on further actions aiming at improvement of a process’s performance. Thus, setting clear purpose of evaluation is the key to reliable results and transforming data into valuable information. At the same time metrics is fundamental element for comparison of systems and technologies, different in nature, but producing the same effects. This is especially important if technological processes, like those in chemical industry, are under consideration.</w:t>
      </w:r>
    </w:p>
    <w:p w14:paraId="77A7A41A" w14:textId="77777777" w:rsidR="000A0B83" w:rsidRPr="00B37594" w:rsidRDefault="004712AF">
      <w:pPr>
        <w:tabs>
          <w:tab w:val="left" w:pos="198"/>
        </w:tabs>
        <w:spacing w:line="276" w:lineRule="auto"/>
        <w:ind w:firstLine="567"/>
        <w:jc w:val="both"/>
        <w:rPr>
          <w:lang w:val="en-US"/>
        </w:rPr>
      </w:pPr>
      <w:r w:rsidRPr="00B37594">
        <w:rPr>
          <w:lang w:val="en-US"/>
        </w:rPr>
        <w:t xml:space="preserve">Traditionally, production and technological metrics was built on physical and chemical parameters coupled with economic indices. However, nowadays it is not enough to analyze material attributes of technologies, contemporary environmental and sustainability issues were revealed in all types of human activity and this calls for the development of efficient metrics to characterize these aspects of production processes. </w:t>
      </w:r>
    </w:p>
    <w:p w14:paraId="754F5F32" w14:textId="741692BA" w:rsidR="000A0B83" w:rsidRPr="00B37594" w:rsidRDefault="004712AF">
      <w:pPr>
        <w:tabs>
          <w:tab w:val="left" w:pos="198"/>
        </w:tabs>
        <w:spacing w:line="276" w:lineRule="auto"/>
        <w:ind w:firstLine="567"/>
        <w:jc w:val="both"/>
        <w:rPr>
          <w:lang w:val="en-US"/>
        </w:rPr>
      </w:pPr>
      <w:r w:rsidRPr="00B37594">
        <w:rPr>
          <w:lang w:val="en-US"/>
        </w:rPr>
        <w:t xml:space="preserve">The existing methods for evaluating products and technologies in terms of environmental impact and sustainable development are numerous and evolving. Their concepts, principles, outputs and meaning are extremely wide. As a </w:t>
      </w:r>
      <w:r w:rsidR="00DE2EAD" w:rsidRPr="00B37594">
        <w:rPr>
          <w:lang w:val="en-US"/>
        </w:rPr>
        <w:t>result,</w:t>
      </w:r>
      <w:r w:rsidRPr="00B37594">
        <w:rPr>
          <w:lang w:val="en-US"/>
        </w:rPr>
        <w:t xml:space="preserve"> they often yield contradictory results or give fragmented characteristics of sustainability, and in particular, </w:t>
      </w:r>
      <w:r w:rsidR="00DE2EAD" w:rsidRPr="00B37594">
        <w:rPr>
          <w:lang w:val="en-US"/>
        </w:rPr>
        <w:t>environmental</w:t>
      </w:r>
      <w:r w:rsidRPr="00B37594">
        <w:rPr>
          <w:lang w:val="en-US"/>
        </w:rPr>
        <w:t xml:space="preserve"> performance. The given research aims to consider benefits and drawbacks of existing green metrics, applied to chemical processes and technologies.</w:t>
      </w:r>
    </w:p>
    <w:p w14:paraId="0103F4C8" w14:textId="77777777" w:rsidR="000A0B83" w:rsidRPr="00B37594" w:rsidRDefault="004712AF">
      <w:pPr>
        <w:spacing w:before="120" w:after="120"/>
        <w:jc w:val="center"/>
        <w:rPr>
          <w:b/>
          <w:lang w:val="en-US"/>
        </w:rPr>
      </w:pPr>
      <w:r w:rsidRPr="00B37594">
        <w:rPr>
          <w:b/>
          <w:lang w:val="en-US"/>
        </w:rPr>
        <w:t xml:space="preserve">Green Metrics Framework </w:t>
      </w:r>
    </w:p>
    <w:p w14:paraId="0FD25AA0" w14:textId="77777777" w:rsidR="000A0B83" w:rsidRPr="00B37594" w:rsidRDefault="004712AF">
      <w:pPr>
        <w:tabs>
          <w:tab w:val="left" w:pos="198"/>
        </w:tabs>
        <w:spacing w:line="276" w:lineRule="auto"/>
        <w:ind w:firstLine="567"/>
        <w:jc w:val="both"/>
        <w:rPr>
          <w:lang w:val="en-US"/>
        </w:rPr>
      </w:pPr>
      <w:r w:rsidRPr="00B37594">
        <w:rPr>
          <w:lang w:val="en-US"/>
        </w:rPr>
        <w:t xml:space="preserve">Green metrics used in chemical technologies assessment are diverse and there is no standard technology evaluation metrics yet. The categories of metrics are different in essence and range from quantitative-subjective to qualitative, involving integration approaches quite often as well. </w:t>
      </w:r>
    </w:p>
    <w:p w14:paraId="13EB67EC" w14:textId="77777777" w:rsidR="000A0B83" w:rsidRPr="00B37594" w:rsidRDefault="004712AF">
      <w:pPr>
        <w:tabs>
          <w:tab w:val="left" w:pos="198"/>
        </w:tabs>
        <w:spacing w:line="276" w:lineRule="auto"/>
        <w:ind w:firstLine="567"/>
        <w:jc w:val="both"/>
        <w:rPr>
          <w:lang w:val="en-US"/>
        </w:rPr>
      </w:pPr>
      <w:r w:rsidRPr="00B37594">
        <w:rPr>
          <w:lang w:val="en-US"/>
        </w:rPr>
        <w:t>In particular, it is quite common to apply fundamental chemical concepts to calculate the efficiency and effectiveness of technologies. A less common approach is based on describing or rating of efficacy and safety assessment. The latter one is close to the principal needs of environmental performance and sustainability evaluation, still there is a lack of consistency in many approaches in use.</w:t>
      </w:r>
    </w:p>
    <w:p w14:paraId="48FE85C3" w14:textId="20DE59D3" w:rsidR="000A0B83" w:rsidRPr="00B37594" w:rsidRDefault="004712AF">
      <w:pPr>
        <w:tabs>
          <w:tab w:val="left" w:pos="198"/>
        </w:tabs>
        <w:spacing w:line="276" w:lineRule="auto"/>
        <w:ind w:firstLine="567"/>
        <w:jc w:val="both"/>
        <w:rPr>
          <w:lang w:val="en-US"/>
        </w:rPr>
      </w:pPr>
      <w:r w:rsidRPr="00B37594">
        <w:rPr>
          <w:lang w:val="en-US"/>
        </w:rPr>
        <w:t xml:space="preserve">Another important </w:t>
      </w:r>
      <w:r w:rsidR="00DE2EAD" w:rsidRPr="00B37594">
        <w:rPr>
          <w:lang w:val="en-US"/>
        </w:rPr>
        <w:t>distinction</w:t>
      </w:r>
      <w:r w:rsidRPr="00B37594">
        <w:rPr>
          <w:lang w:val="en-US"/>
        </w:rPr>
        <w:t xml:space="preserve"> between metrical approaches is their point of view: metrics can be lagging or leading. The lagging approach is more common, since it is based on actual </w:t>
      </w:r>
      <w:r w:rsidRPr="00B37594">
        <w:rPr>
          <w:lang w:val="en-US"/>
        </w:rPr>
        <w:lastRenderedPageBreak/>
        <w:t xml:space="preserve">measurements and thus it is considered to be more accurate and reliable. Environmental indicators, however, are leading by their essence and if they are applied at the project and </w:t>
      </w:r>
      <w:r w:rsidR="00DE2EAD" w:rsidRPr="00B37594">
        <w:rPr>
          <w:lang w:val="en-US"/>
        </w:rPr>
        <w:t>decision-making</w:t>
      </w:r>
      <w:r w:rsidRPr="00B37594">
        <w:rPr>
          <w:lang w:val="en-US"/>
        </w:rPr>
        <w:t xml:space="preserve"> </w:t>
      </w:r>
      <w:r w:rsidR="00DE2EAD" w:rsidRPr="00B37594">
        <w:rPr>
          <w:lang w:val="en-US"/>
        </w:rPr>
        <w:t>stage,</w:t>
      </w:r>
      <w:r w:rsidRPr="00B37594">
        <w:rPr>
          <w:lang w:val="en-US"/>
        </w:rPr>
        <w:t xml:space="preserve"> they can </w:t>
      </w:r>
      <w:r w:rsidR="00DE2EAD" w:rsidRPr="00B37594">
        <w:rPr>
          <w:lang w:val="en-US"/>
        </w:rPr>
        <w:t>affect</w:t>
      </w:r>
      <w:r w:rsidRPr="00B37594">
        <w:rPr>
          <w:lang w:val="en-US"/>
        </w:rPr>
        <w:t xml:space="preserve"> final choices made. However, this is possible if environmental parameters are taken into </w:t>
      </w:r>
      <w:r w:rsidR="00DE2EAD" w:rsidRPr="00B37594">
        <w:rPr>
          <w:lang w:val="en-US"/>
        </w:rPr>
        <w:t>consideration</w:t>
      </w:r>
      <w:r w:rsidRPr="00B37594">
        <w:rPr>
          <w:lang w:val="en-US"/>
        </w:rPr>
        <w:t xml:space="preserve">, which is often not the case. Sustainability indicators are also predominantly leading and what is typical for them are a subject to </w:t>
      </w:r>
      <w:r w:rsidR="00DE2EAD" w:rsidRPr="00B37594">
        <w:rPr>
          <w:lang w:val="en-US"/>
        </w:rPr>
        <w:t>uncertainty</w:t>
      </w:r>
      <w:r w:rsidRPr="00B37594">
        <w:rPr>
          <w:lang w:val="en-US"/>
        </w:rPr>
        <w:t xml:space="preserve"> since the sustainability concept and principles are evolving and cases of inconsistency and unpredictable failures are quite </w:t>
      </w:r>
      <w:proofErr w:type="gramStart"/>
      <w:r w:rsidRPr="00B37594">
        <w:rPr>
          <w:lang w:val="en-US"/>
        </w:rPr>
        <w:t>common</w:t>
      </w:r>
      <w:r w:rsidR="0045763F">
        <w:rPr>
          <w:lang w:val="en-US"/>
        </w:rPr>
        <w:t xml:space="preserve"> </w:t>
      </w:r>
      <w:r w:rsidRPr="00B37594">
        <w:rPr>
          <w:lang w:val="en-US"/>
        </w:rPr>
        <w:t>.</w:t>
      </w:r>
      <w:proofErr w:type="gramEnd"/>
      <w:r w:rsidRPr="00B37594">
        <w:rPr>
          <w:lang w:val="en-US"/>
        </w:rPr>
        <w:t xml:space="preserve"> This reduces confidence to such indicators and forces researchers and decision makers adhere to traditional computations of chemical characteristics.</w:t>
      </w:r>
    </w:p>
    <w:p w14:paraId="4511A55C" w14:textId="47259461" w:rsidR="000A0B83" w:rsidRPr="00B37594" w:rsidRDefault="004712AF" w:rsidP="0070640B">
      <w:pPr>
        <w:tabs>
          <w:tab w:val="left" w:pos="198"/>
        </w:tabs>
        <w:spacing w:line="276" w:lineRule="auto"/>
        <w:ind w:firstLine="567"/>
        <w:jc w:val="both"/>
        <w:rPr>
          <w:lang w:val="en-US"/>
        </w:rPr>
      </w:pPr>
      <w:r w:rsidRPr="00B37594">
        <w:rPr>
          <w:lang w:val="en-US"/>
        </w:rPr>
        <w:t>There have been a considerable number of green chemistry metrics developed over the past few decades, some of the most common are:</w:t>
      </w:r>
      <w:r w:rsidR="0070640B">
        <w:rPr>
          <w:lang w:val="en-US"/>
        </w:rPr>
        <w:t xml:space="preserve"> </w:t>
      </w:r>
      <w:r w:rsidRPr="00B37594">
        <w:rPr>
          <w:lang w:val="en-US"/>
        </w:rPr>
        <w:t>percentage yield (Y)</w:t>
      </w:r>
      <w:r w:rsidR="0070640B">
        <w:rPr>
          <w:lang w:val="en-US"/>
        </w:rPr>
        <w:t xml:space="preserve">, </w:t>
      </w:r>
      <w:r w:rsidRPr="00B37594">
        <w:rPr>
          <w:lang w:val="en-US"/>
        </w:rPr>
        <w:t>atom economy (AE),</w:t>
      </w:r>
      <w:r w:rsidR="0070640B">
        <w:rPr>
          <w:lang w:val="en-US"/>
        </w:rPr>
        <w:t xml:space="preserve"> </w:t>
      </w:r>
      <w:r w:rsidRPr="00B37594">
        <w:rPr>
          <w:lang w:val="en-US"/>
        </w:rPr>
        <w:t>environmental factor (E-factor),</w:t>
      </w:r>
      <w:r w:rsidR="0070640B">
        <w:rPr>
          <w:lang w:val="en-US"/>
        </w:rPr>
        <w:t xml:space="preserve"> </w:t>
      </w:r>
      <w:r w:rsidRPr="00B37594">
        <w:rPr>
          <w:lang w:val="en-US"/>
        </w:rPr>
        <w:t>reaction mass efficiency (RME),</w:t>
      </w:r>
      <w:r w:rsidR="0070640B">
        <w:rPr>
          <w:lang w:val="en-US"/>
        </w:rPr>
        <w:t xml:space="preserve"> </w:t>
      </w:r>
      <w:r w:rsidRPr="00B37594">
        <w:rPr>
          <w:lang w:val="en-US"/>
        </w:rPr>
        <w:t>process mass intensity (PMI),</w:t>
      </w:r>
      <w:r w:rsidR="0070640B">
        <w:rPr>
          <w:lang w:val="en-US"/>
        </w:rPr>
        <w:t xml:space="preserve"> </w:t>
      </w:r>
      <w:r w:rsidRPr="00B37594">
        <w:rPr>
          <w:lang w:val="en-US"/>
        </w:rPr>
        <w:t>mass intensity (MI),</w:t>
      </w:r>
      <w:r w:rsidR="0070640B">
        <w:rPr>
          <w:lang w:val="en-US"/>
        </w:rPr>
        <w:t xml:space="preserve"> </w:t>
      </w:r>
      <w:r w:rsidRPr="00B37594">
        <w:rPr>
          <w:lang w:val="en-US"/>
        </w:rPr>
        <w:t>carbon efficiency (CE),</w:t>
      </w:r>
      <w:r w:rsidR="0070640B">
        <w:rPr>
          <w:lang w:val="en-US"/>
        </w:rPr>
        <w:t xml:space="preserve"> </w:t>
      </w:r>
      <w:r w:rsidRPr="00B37594">
        <w:rPr>
          <w:lang w:val="en-US"/>
        </w:rPr>
        <w:t>atom utilization (AU),</w:t>
      </w:r>
      <w:r w:rsidR="0070640B">
        <w:rPr>
          <w:lang w:val="en-US"/>
        </w:rPr>
        <w:t xml:space="preserve"> </w:t>
      </w:r>
      <w:r w:rsidRPr="00B37594">
        <w:rPr>
          <w:lang w:val="en-US"/>
        </w:rPr>
        <w:t>environmental quotient (EQ),</w:t>
      </w:r>
      <w:r w:rsidR="0070640B">
        <w:rPr>
          <w:lang w:val="en-US"/>
        </w:rPr>
        <w:t xml:space="preserve"> </w:t>
      </w:r>
      <w:r w:rsidRPr="00B37594">
        <w:rPr>
          <w:lang w:val="en-US"/>
        </w:rPr>
        <w:t>green aspiration level (GAL),</w:t>
      </w:r>
      <w:r w:rsidR="0070640B">
        <w:rPr>
          <w:lang w:val="en-US"/>
        </w:rPr>
        <w:t xml:space="preserve"> </w:t>
      </w:r>
      <w:r w:rsidRPr="00B37594">
        <w:rPr>
          <w:lang w:val="en-US"/>
        </w:rPr>
        <w:t>relative process greenness (RPG)</w:t>
      </w:r>
      <w:r w:rsidR="0070640B">
        <w:rPr>
          <w:lang w:val="en-US"/>
        </w:rPr>
        <w:t xml:space="preserve"> [</w:t>
      </w:r>
      <w:r w:rsidR="002C4BFA">
        <w:rPr>
          <w:lang w:val="en-US"/>
        </w:rPr>
        <w:t>1</w:t>
      </w:r>
      <w:r w:rsidR="00542304">
        <w:rPr>
          <w:lang w:val="en-US"/>
        </w:rPr>
        <w:t>, 2</w:t>
      </w:r>
      <w:r w:rsidR="0070640B">
        <w:rPr>
          <w:lang w:val="en-US"/>
        </w:rPr>
        <w:t>]</w:t>
      </w:r>
      <w:r w:rsidRPr="00B37594">
        <w:rPr>
          <w:lang w:val="en-US"/>
        </w:rPr>
        <w:t>.</w:t>
      </w:r>
    </w:p>
    <w:p w14:paraId="5101A2DF" w14:textId="41654113" w:rsidR="000A0B83" w:rsidRPr="00B37594" w:rsidRDefault="004712AF">
      <w:pPr>
        <w:tabs>
          <w:tab w:val="left" w:pos="198"/>
        </w:tabs>
        <w:spacing w:line="276" w:lineRule="auto"/>
        <w:ind w:firstLine="567"/>
        <w:jc w:val="both"/>
        <w:rPr>
          <w:lang w:val="en-US"/>
        </w:rPr>
      </w:pPr>
      <w:r w:rsidRPr="00B37594">
        <w:rPr>
          <w:lang w:val="en-US"/>
        </w:rPr>
        <w:t xml:space="preserve">By essence, most of these parameters refer to correlation between final product mass and mass of inputs into the reaction process: reagents, catalyst, reactive environment, energy, solvents etc. It is quite simple and representative approach: the less mass of material used and lost or not incorporated into final product, the lower the environmental footprint of the process is. Indices like Atom economy, E-factor, yield, reaction mass efficiency and effective mass efficiency are examples of this impact-based metrics. With all their benefits, this group of metrics lack important from the environmental perspective point – differentiation between hazard levels attributed to both input and output materials. Since most bulk producers of chemicals use mass-based approaches as a viable measure of their efficiency, a simple addition of toxicity parameter to their metrics approach would significantly improve the quality of information derived from these indices and shifted </w:t>
      </w:r>
      <w:r w:rsidR="00DE2EAD" w:rsidRPr="00B37594">
        <w:rPr>
          <w:lang w:val="en-US"/>
        </w:rPr>
        <w:t>companies</w:t>
      </w:r>
      <w:r w:rsidRPr="00B37594">
        <w:rPr>
          <w:lang w:val="en-US"/>
        </w:rPr>
        <w:t xml:space="preserve"> close to real environmental performance assessment.</w:t>
      </w:r>
    </w:p>
    <w:p w14:paraId="46D226CB" w14:textId="77777777" w:rsidR="000A0B83" w:rsidRPr="00B37594" w:rsidRDefault="004712AF">
      <w:pPr>
        <w:tabs>
          <w:tab w:val="left" w:pos="198"/>
        </w:tabs>
        <w:spacing w:line="276" w:lineRule="auto"/>
        <w:ind w:firstLine="567"/>
        <w:jc w:val="both"/>
        <w:rPr>
          <w:lang w:val="en-US"/>
        </w:rPr>
      </w:pPr>
      <w:r w:rsidRPr="00B37594">
        <w:rPr>
          <w:lang w:val="en-US"/>
        </w:rPr>
        <w:t>Actually, well provided information is an important advantage of mass-based metrics, since it is derived from available data measured in real conditions and minimal subjective opinions involved. As such it must be kept as a core of environmental and sustainability metrics to facilitate the work on reduction of technology or process ecological footprint and overall monitoring of its environmental impacts.</w:t>
      </w:r>
    </w:p>
    <w:p w14:paraId="0727152A" w14:textId="1EC767F0" w:rsidR="000A0B83" w:rsidRPr="00B37594" w:rsidRDefault="004712AF">
      <w:pPr>
        <w:tabs>
          <w:tab w:val="left" w:pos="198"/>
        </w:tabs>
        <w:spacing w:line="276" w:lineRule="auto"/>
        <w:ind w:firstLine="567"/>
        <w:jc w:val="both"/>
        <w:rPr>
          <w:lang w:val="en-US"/>
        </w:rPr>
      </w:pPr>
      <w:r w:rsidRPr="00B37594">
        <w:rPr>
          <w:lang w:val="en-US"/>
        </w:rPr>
        <w:t xml:space="preserve">Environmental and other types of sustainability aspects are better shaped for the application of impact-based metrics by essence and by providing better basis for comparison. This is currently done via life-cycle assessment, but it not very suitable for chemical </w:t>
      </w:r>
      <w:r w:rsidR="00DE2EAD" w:rsidRPr="00B37594">
        <w:rPr>
          <w:lang w:val="en-US"/>
        </w:rPr>
        <w:t>companies</w:t>
      </w:r>
      <w:r w:rsidRPr="00B37594">
        <w:rPr>
          <w:lang w:val="en-US"/>
        </w:rPr>
        <w:t xml:space="preserve"> producing only limited assortment of chemical building blocks. The environmental efficiency, in its turn, is </w:t>
      </w:r>
      <w:r w:rsidR="00DE2EAD" w:rsidRPr="00B37594">
        <w:rPr>
          <w:lang w:val="en-US"/>
        </w:rPr>
        <w:t>measured by</w:t>
      </w:r>
      <w:r w:rsidRPr="00B37594">
        <w:rPr>
          <w:lang w:val="en-US"/>
        </w:rPr>
        <w:t xml:space="preserve"> count the contribution of all processes and substances involved in climate </w:t>
      </w:r>
      <w:r w:rsidR="00DE2EAD" w:rsidRPr="00B37594">
        <w:rPr>
          <w:lang w:val="en-US"/>
        </w:rPr>
        <w:t>change, acidification</w:t>
      </w:r>
      <w:r w:rsidRPr="00B37594">
        <w:rPr>
          <w:lang w:val="en-US"/>
        </w:rPr>
        <w:t xml:space="preserve">, ozone depletion and formation. An intermediate approach is calculation of the process and technology water and carbon </w:t>
      </w:r>
      <w:r w:rsidR="00DE2EAD" w:rsidRPr="00B37594">
        <w:rPr>
          <w:lang w:val="en-US"/>
        </w:rPr>
        <w:t>footprint</w:t>
      </w:r>
      <w:r w:rsidRPr="00B37594">
        <w:rPr>
          <w:lang w:val="en-US"/>
        </w:rPr>
        <w:t xml:space="preserve">, or integrated ecological footprint. Of course, these methods are limited by calculations complexity and availability and accuracy of raw data. This drawback is currently not manageable since in many cases specific parameters of substances environmental profile, like ozone formation potential or acidification potential, for example, are not yet established as such research work needs considerable resources and time. With this limitation, assessment of environmental parameters as a process metrics could be compromised </w:t>
      </w:r>
      <w:r w:rsidR="00DE2EAD" w:rsidRPr="00B37594">
        <w:rPr>
          <w:lang w:val="en-US"/>
        </w:rPr>
        <w:t>by assumptions</w:t>
      </w:r>
      <w:r w:rsidRPr="00B37594">
        <w:rPr>
          <w:lang w:val="en-US"/>
        </w:rPr>
        <w:t xml:space="preserve"> and analogues introduced into the assessment. This could be solved by evaluation of waste and pollution produced scaled to some indicator substances or measuring the volumes of non-renewable resources in the process. This again brings us to environmental impacts assessment driven by inputs or outputs of the process: inputs reflect using of natural resources and outputs try to measure or predict generated waste, emissions, discharges etc. In other words, input metrics </w:t>
      </w:r>
      <w:r w:rsidRPr="00B37594">
        <w:rPr>
          <w:lang w:val="en-US"/>
        </w:rPr>
        <w:lastRenderedPageBreak/>
        <w:t xml:space="preserve">primarily characterize the sources of impacts (land and water use, energy consumed or embodied), while output metrics covers the consequences – how the processes and technologies may affect natural ecosystems, human health, and environmental values on the whole (cause generation of GHGs, ozone, acidity, </w:t>
      </w:r>
      <w:r w:rsidR="00DE2EAD" w:rsidRPr="00B37594">
        <w:rPr>
          <w:lang w:val="en-US"/>
        </w:rPr>
        <w:t>eutrophication</w:t>
      </w:r>
      <w:r w:rsidRPr="00B37594">
        <w:rPr>
          <w:lang w:val="en-US"/>
        </w:rPr>
        <w:t xml:space="preserve">, health effects). Among the list of output parameters human health is the most comprehensively studied, but it should be avoided as a single target parameter, since impacts on ecosystems balance have profound effect on </w:t>
      </w:r>
      <w:r w:rsidR="00DE2EAD" w:rsidRPr="00B37594">
        <w:rPr>
          <w:lang w:val="en-US"/>
        </w:rPr>
        <w:t>other</w:t>
      </w:r>
      <w:r w:rsidRPr="00B37594">
        <w:rPr>
          <w:lang w:val="en-US"/>
        </w:rPr>
        <w:t xml:space="preserve"> </w:t>
      </w:r>
      <w:r w:rsidR="00DE2EAD" w:rsidRPr="00B37594">
        <w:rPr>
          <w:lang w:val="en-US"/>
        </w:rPr>
        <w:t>living</w:t>
      </w:r>
      <w:r w:rsidRPr="00B37594">
        <w:rPr>
          <w:lang w:val="en-US"/>
        </w:rPr>
        <w:t xml:space="preserve"> organisms and eventually destroy the human living </w:t>
      </w:r>
      <w:r w:rsidR="00DE2EAD" w:rsidRPr="00B37594">
        <w:rPr>
          <w:lang w:val="en-US"/>
        </w:rPr>
        <w:t>environment</w:t>
      </w:r>
      <w:r w:rsidRPr="00B37594">
        <w:rPr>
          <w:lang w:val="en-US"/>
        </w:rPr>
        <w:t xml:space="preserve">, leading to health damage again. </w:t>
      </w:r>
    </w:p>
    <w:p w14:paraId="0347B724" w14:textId="58FAE07E" w:rsidR="00B37594" w:rsidRPr="00B37594" w:rsidRDefault="00B37594" w:rsidP="00B37594">
      <w:pPr>
        <w:spacing w:before="120" w:after="120"/>
        <w:jc w:val="center"/>
        <w:rPr>
          <w:b/>
          <w:lang w:val="en-US"/>
        </w:rPr>
      </w:pPr>
      <w:r w:rsidRPr="00B37594">
        <w:rPr>
          <w:b/>
          <w:lang w:val="en-US"/>
        </w:rPr>
        <w:t xml:space="preserve">Issues of </w:t>
      </w:r>
      <w:r w:rsidR="00DE2EAD">
        <w:rPr>
          <w:b/>
          <w:lang w:val="en-US"/>
        </w:rPr>
        <w:t>E</w:t>
      </w:r>
      <w:r w:rsidR="00DE2EAD" w:rsidRPr="00B37594">
        <w:rPr>
          <w:b/>
          <w:lang w:val="en-US"/>
        </w:rPr>
        <w:t>nvironmental</w:t>
      </w:r>
      <w:r w:rsidRPr="00B37594">
        <w:rPr>
          <w:b/>
          <w:lang w:val="en-US"/>
        </w:rPr>
        <w:t xml:space="preserve"> and </w:t>
      </w:r>
      <w:r w:rsidR="00B8528A">
        <w:rPr>
          <w:b/>
          <w:lang w:val="en-US"/>
        </w:rPr>
        <w:t>S</w:t>
      </w:r>
      <w:r w:rsidRPr="00B37594">
        <w:rPr>
          <w:b/>
          <w:lang w:val="en-US"/>
        </w:rPr>
        <w:t xml:space="preserve">ustainability </w:t>
      </w:r>
      <w:r w:rsidR="00B8528A">
        <w:rPr>
          <w:b/>
          <w:lang w:val="en-US"/>
        </w:rPr>
        <w:t>M</w:t>
      </w:r>
      <w:r w:rsidRPr="00B37594">
        <w:rPr>
          <w:b/>
          <w:lang w:val="en-US"/>
        </w:rPr>
        <w:t>etrics</w:t>
      </w:r>
      <w:r w:rsidR="00B8528A">
        <w:rPr>
          <w:b/>
          <w:lang w:val="en-US"/>
        </w:rPr>
        <w:t xml:space="preserve"> Implementation</w:t>
      </w:r>
    </w:p>
    <w:p w14:paraId="01639074" w14:textId="0A324AAF" w:rsidR="000A0B83" w:rsidRDefault="004712AF">
      <w:pPr>
        <w:tabs>
          <w:tab w:val="left" w:pos="198"/>
        </w:tabs>
        <w:spacing w:line="276" w:lineRule="auto"/>
        <w:ind w:firstLine="567"/>
        <w:jc w:val="both"/>
        <w:rPr>
          <w:lang w:val="en-US"/>
        </w:rPr>
      </w:pPr>
      <w:r w:rsidRPr="00B37594">
        <w:rPr>
          <w:lang w:val="en-US"/>
        </w:rPr>
        <w:t xml:space="preserve">Environmental performance is an important </w:t>
      </w:r>
      <w:r w:rsidR="00DE2EAD" w:rsidRPr="00B37594">
        <w:rPr>
          <w:lang w:val="en-US"/>
        </w:rPr>
        <w:t>goal</w:t>
      </w:r>
      <w:r w:rsidRPr="00B37594">
        <w:rPr>
          <w:lang w:val="en-US"/>
        </w:rPr>
        <w:t xml:space="preserve"> of chemical metrics, but it is one of sustainability components, as important as economic and social profile of technology. If economic parameters are efficiently measured at the stage of product design process, social factors are omitted in all types of metrics currently in use. The reason for this is that social metrics is hard to define and quantify</w:t>
      </w:r>
      <w:r w:rsidR="0045763F">
        <w:rPr>
          <w:lang w:val="en-US"/>
        </w:rPr>
        <w:t xml:space="preserve">, as well as find </w:t>
      </w:r>
      <w:r w:rsidRPr="00B37594">
        <w:rPr>
          <w:lang w:val="en-US"/>
        </w:rPr>
        <w:t>reference system for consistent comparison</w:t>
      </w:r>
      <w:r w:rsidR="0045763F">
        <w:rPr>
          <w:lang w:val="en-US"/>
        </w:rPr>
        <w:t xml:space="preserve"> [</w:t>
      </w:r>
      <w:r w:rsidR="00542304">
        <w:rPr>
          <w:lang w:val="en-US"/>
        </w:rPr>
        <w:t>3</w:t>
      </w:r>
      <w:r w:rsidR="0045763F">
        <w:rPr>
          <w:lang w:val="en-US"/>
        </w:rPr>
        <w:t>]</w:t>
      </w:r>
      <w:r w:rsidRPr="00B37594">
        <w:rPr>
          <w:lang w:val="en-US"/>
        </w:rPr>
        <w:t xml:space="preserve">. In certain way, avoidance of </w:t>
      </w:r>
      <w:r w:rsidR="00DE2EAD" w:rsidRPr="00B37594">
        <w:rPr>
          <w:lang w:val="en-US"/>
        </w:rPr>
        <w:t>environmental</w:t>
      </w:r>
      <w:r w:rsidRPr="00B37594">
        <w:rPr>
          <w:lang w:val="en-US"/>
        </w:rPr>
        <w:t xml:space="preserve"> pollution is the way to provision of environmental equality and equity. Another indirect element of social metrics is the use of limited resources, which puts pressure on deficit materials might cause strain in the society due to limited access to them. Thus, the </w:t>
      </w:r>
      <w:r w:rsidR="00DE2EAD">
        <w:rPr>
          <w:lang w:val="en-US"/>
        </w:rPr>
        <w:t>quantity</w:t>
      </w:r>
      <w:r w:rsidRPr="00B37594">
        <w:rPr>
          <w:lang w:val="en-US"/>
        </w:rPr>
        <w:t xml:space="preserve"> of materials whose reserves are running out in nature is the factor to be accounted in metrics. </w:t>
      </w:r>
    </w:p>
    <w:p w14:paraId="45D1153B" w14:textId="75EEF6EA" w:rsidR="005D29E9" w:rsidRPr="00B37594" w:rsidRDefault="005D29E9">
      <w:pPr>
        <w:tabs>
          <w:tab w:val="left" w:pos="198"/>
        </w:tabs>
        <w:spacing w:line="276" w:lineRule="auto"/>
        <w:ind w:firstLine="567"/>
        <w:jc w:val="both"/>
        <w:rPr>
          <w:lang w:val="en-US"/>
        </w:rPr>
      </w:pPr>
      <w:r>
        <w:rPr>
          <w:lang w:val="en-US"/>
        </w:rPr>
        <w:t xml:space="preserve">The indices of sustainability offered by now also tend to be mass-based, being actually the modifications of resources-waste relationships. In particular, </w:t>
      </w:r>
      <w:r w:rsidR="00347EC6" w:rsidRPr="00347EC6">
        <w:rPr>
          <w:lang w:val="en-US"/>
        </w:rPr>
        <w:t xml:space="preserve">Renewables </w:t>
      </w:r>
      <w:r w:rsidR="00347EC6">
        <w:rPr>
          <w:lang w:val="en-US"/>
        </w:rPr>
        <w:t>I</w:t>
      </w:r>
      <w:r w:rsidR="00347EC6" w:rsidRPr="00347EC6">
        <w:rPr>
          <w:lang w:val="en-US"/>
        </w:rPr>
        <w:t xml:space="preserve">ntensity </w:t>
      </w:r>
      <w:r w:rsidR="00347EC6">
        <w:rPr>
          <w:lang w:val="en-US"/>
        </w:rPr>
        <w:t>I</w:t>
      </w:r>
      <w:r w:rsidR="00347EC6" w:rsidRPr="00347EC6">
        <w:rPr>
          <w:lang w:val="en-US"/>
        </w:rPr>
        <w:t>ndex</w:t>
      </w:r>
      <w:r w:rsidR="00347EC6">
        <w:rPr>
          <w:lang w:val="en-US"/>
        </w:rPr>
        <w:t xml:space="preserve"> and Waste Intensity Index are of this type. Being quite informative about the circularity of the processes they still omit the other </w:t>
      </w:r>
      <w:r w:rsidR="00DE2EAD">
        <w:rPr>
          <w:lang w:val="en-US"/>
        </w:rPr>
        <w:t>dimensions</w:t>
      </w:r>
      <w:r w:rsidR="00347EC6">
        <w:rPr>
          <w:lang w:val="en-US"/>
        </w:rPr>
        <w:t xml:space="preserve"> of environmental quality and sustainability.</w:t>
      </w:r>
    </w:p>
    <w:p w14:paraId="63A95B59" w14:textId="2CCCB6AD" w:rsidR="000A0B83" w:rsidRPr="00B37594" w:rsidRDefault="004712AF">
      <w:pPr>
        <w:tabs>
          <w:tab w:val="left" w:pos="198"/>
        </w:tabs>
        <w:spacing w:line="276" w:lineRule="auto"/>
        <w:ind w:firstLine="567"/>
        <w:jc w:val="both"/>
        <w:rPr>
          <w:lang w:val="en-US"/>
        </w:rPr>
      </w:pPr>
      <w:r w:rsidRPr="00B37594">
        <w:rPr>
          <w:lang w:val="en-US"/>
        </w:rPr>
        <w:t xml:space="preserve">Thus, a simple quantitative mass-based and </w:t>
      </w:r>
      <w:r w:rsidR="005D29E9">
        <w:rPr>
          <w:lang w:val="en-US"/>
        </w:rPr>
        <w:t>source</w:t>
      </w:r>
      <w:r w:rsidRPr="00B37594">
        <w:rPr>
          <w:lang w:val="en-US"/>
        </w:rPr>
        <w:t xml:space="preserve">-based metrics </w:t>
      </w:r>
      <w:r w:rsidR="00DE2EAD" w:rsidRPr="00B37594">
        <w:rPr>
          <w:lang w:val="en-US"/>
        </w:rPr>
        <w:t>cannot</w:t>
      </w:r>
      <w:r w:rsidRPr="00B37594">
        <w:rPr>
          <w:lang w:val="en-US"/>
        </w:rPr>
        <w:t xml:space="preserve"> provide comprehensive characteristics of the process and technology sustainability. Simplicity is a virtue, but it does not provide the substantiated fundament for clear comparison and decision making. As a result, there is a need to shift to integrated indices, which inevitably needs more time and research for application, but leaves less voids in the resulted evaluation. </w:t>
      </w:r>
    </w:p>
    <w:p w14:paraId="732261C9" w14:textId="53382887" w:rsidR="000A0B83" w:rsidRPr="00B37594" w:rsidRDefault="004712AF">
      <w:pPr>
        <w:tabs>
          <w:tab w:val="left" w:pos="198"/>
        </w:tabs>
        <w:spacing w:line="276" w:lineRule="auto"/>
        <w:ind w:firstLine="567"/>
        <w:jc w:val="both"/>
        <w:rPr>
          <w:lang w:val="en-US"/>
        </w:rPr>
      </w:pPr>
      <w:r w:rsidRPr="00B37594">
        <w:rPr>
          <w:lang w:val="en-US"/>
        </w:rPr>
        <w:t xml:space="preserve">The framework of integrated metrics application involves climbing the levels of complexity. The first level is material efficiency or mass balance metrics, covered by most indices discussed above. At the second level the technology’s components and reagents at the input and output points are evaluated in terms of </w:t>
      </w:r>
      <w:r w:rsidR="00DE2EAD" w:rsidRPr="00B37594">
        <w:rPr>
          <w:lang w:val="en-US"/>
        </w:rPr>
        <w:t>their</w:t>
      </w:r>
      <w:r w:rsidRPr="00B37594">
        <w:rPr>
          <w:lang w:val="en-US"/>
        </w:rPr>
        <w:t xml:space="preserve"> environmental safety. The next level is applicable to the technology at the scale of industrial process, when </w:t>
      </w:r>
      <w:r w:rsidR="00DE2EAD" w:rsidRPr="00B37594">
        <w:rPr>
          <w:lang w:val="en-US"/>
        </w:rPr>
        <w:t>its compliance</w:t>
      </w:r>
      <w:r w:rsidRPr="00B37594">
        <w:rPr>
          <w:lang w:val="en-US"/>
        </w:rPr>
        <w:t xml:space="preserve"> with regulations or conformance with industrial performance standards (e.g., output concentration of hazardous chemicals versus state threshold levels and limits of waste generated) is evaluated. This is routinely done for the whole enterprise as a group of sources of pollution. Being reflective about the effect</w:t>
      </w:r>
      <w:r w:rsidR="00B37594" w:rsidRPr="00B37594">
        <w:rPr>
          <w:lang w:val="en-US"/>
        </w:rPr>
        <w:t xml:space="preserve"> on environment </w:t>
      </w:r>
      <w:r w:rsidRPr="00B37594">
        <w:rPr>
          <w:lang w:val="en-US"/>
        </w:rPr>
        <w:t xml:space="preserve">these parameters are not applicable as elements of green metrics, since they depend on state regulations and approaches to environment control, set by the policymakers. </w:t>
      </w:r>
      <w:r w:rsidR="00B37594" w:rsidRPr="00B37594">
        <w:rPr>
          <w:lang w:val="en-US"/>
        </w:rPr>
        <w:t xml:space="preserve">Moreover, they are not bound to a specific technology, rather they characterize the overall efficiency of production at the </w:t>
      </w:r>
      <w:r w:rsidR="00DE2EAD" w:rsidRPr="00B37594">
        <w:rPr>
          <w:lang w:val="en-US"/>
        </w:rPr>
        <w:t>enterprise</w:t>
      </w:r>
      <w:r w:rsidR="00B37594" w:rsidRPr="00B37594">
        <w:rPr>
          <w:lang w:val="en-US"/>
        </w:rPr>
        <w:t xml:space="preserve"> and applied nature protection policy. </w:t>
      </w:r>
    </w:p>
    <w:p w14:paraId="0F456857" w14:textId="05684928" w:rsidR="00B8528A" w:rsidRDefault="00B37594" w:rsidP="00C83D54">
      <w:pPr>
        <w:tabs>
          <w:tab w:val="left" w:pos="198"/>
        </w:tabs>
        <w:spacing w:line="276" w:lineRule="auto"/>
        <w:ind w:firstLine="567"/>
        <w:jc w:val="both"/>
        <w:rPr>
          <w:lang w:val="en-US"/>
        </w:rPr>
      </w:pPr>
      <w:r>
        <w:rPr>
          <w:lang w:val="en-US"/>
        </w:rPr>
        <w:t xml:space="preserve">The advanced level of metrics, which is actually able to link exact </w:t>
      </w:r>
      <w:r w:rsidR="00DE2EAD">
        <w:rPr>
          <w:lang w:val="en-US"/>
        </w:rPr>
        <w:t>chemical</w:t>
      </w:r>
      <w:r>
        <w:rPr>
          <w:lang w:val="en-US"/>
        </w:rPr>
        <w:t xml:space="preserve"> process to the environment degradation and subsequent reduction of community living standards is when </w:t>
      </w:r>
      <w:r w:rsidR="004712AF" w:rsidRPr="00B37594">
        <w:rPr>
          <w:lang w:val="en-US"/>
        </w:rPr>
        <w:t xml:space="preserve">the potential </w:t>
      </w:r>
      <w:r w:rsidR="00C83D54">
        <w:rPr>
          <w:lang w:val="en-US"/>
        </w:rPr>
        <w:t xml:space="preserve">contribution </w:t>
      </w:r>
      <w:r w:rsidR="004712AF" w:rsidRPr="00B37594">
        <w:rPr>
          <w:lang w:val="en-US"/>
        </w:rPr>
        <w:t>of the technology</w:t>
      </w:r>
      <w:r w:rsidR="00C83D54">
        <w:rPr>
          <w:lang w:val="en-US"/>
        </w:rPr>
        <w:t xml:space="preserve"> to the positive dynamics of</w:t>
      </w:r>
      <w:r w:rsidR="004712AF" w:rsidRPr="00B37594">
        <w:rPr>
          <w:lang w:val="en-US"/>
        </w:rPr>
        <w:t xml:space="preserve"> eutrophication, local air quality trends, carbon emission cost of</w:t>
      </w:r>
      <w:r w:rsidR="00C83D54">
        <w:rPr>
          <w:lang w:val="en-US"/>
        </w:rPr>
        <w:t xml:space="preserve"> production</w:t>
      </w:r>
      <w:r w:rsidR="004712AF" w:rsidRPr="00B37594">
        <w:rPr>
          <w:lang w:val="en-US"/>
        </w:rPr>
        <w:t>.</w:t>
      </w:r>
      <w:r w:rsidR="00C83D54">
        <w:rPr>
          <w:lang w:val="en-US"/>
        </w:rPr>
        <w:t xml:space="preserve"> </w:t>
      </w:r>
    </w:p>
    <w:p w14:paraId="22997B86" w14:textId="3887F831" w:rsidR="00B8528A" w:rsidRDefault="00DE2EAD" w:rsidP="00C83D54">
      <w:pPr>
        <w:tabs>
          <w:tab w:val="left" w:pos="198"/>
        </w:tabs>
        <w:spacing w:line="276" w:lineRule="auto"/>
        <w:ind w:firstLine="567"/>
        <w:jc w:val="both"/>
        <w:rPr>
          <w:lang w:val="en-US"/>
        </w:rPr>
      </w:pPr>
      <w:r>
        <w:rPr>
          <w:lang w:val="en-US"/>
        </w:rPr>
        <w:t>Altogether</w:t>
      </w:r>
      <w:r w:rsidR="00C83D54">
        <w:rPr>
          <w:lang w:val="en-US"/>
        </w:rPr>
        <w:t xml:space="preserve"> 1-3 levels of metrics are embedded into </w:t>
      </w:r>
      <w:r w:rsidR="004712AF" w:rsidRPr="00B37594">
        <w:rPr>
          <w:lang w:val="en-US"/>
        </w:rPr>
        <w:t xml:space="preserve">lifecycle </w:t>
      </w:r>
      <w:r w:rsidR="00C83D54">
        <w:rPr>
          <w:lang w:val="en-US"/>
        </w:rPr>
        <w:t xml:space="preserve">assessment, which traces the real footprint of the technology, starting from raw materials used to generate reactive components, their transportation, energy and water fed into the process and equipment used. This is also too </w:t>
      </w:r>
      <w:r w:rsidR="00C83D54">
        <w:rPr>
          <w:lang w:val="en-US"/>
        </w:rPr>
        <w:lastRenderedPageBreak/>
        <w:t xml:space="preserve">bulky to be used as </w:t>
      </w:r>
      <w:r>
        <w:rPr>
          <w:lang w:val="en-US"/>
        </w:rPr>
        <w:t>an</w:t>
      </w:r>
      <w:r w:rsidR="00C83D54">
        <w:rPr>
          <w:lang w:val="en-US"/>
        </w:rPr>
        <w:t xml:space="preserve"> indicative metrics, when technologies are compared and rated, since multiple and diverse assumptions are involved into the assessment. However, this element shouldn’t be omitted, rather its general principles should be applied to measure </w:t>
      </w:r>
      <w:r w:rsidR="009411FA">
        <w:rPr>
          <w:lang w:val="en-US"/>
        </w:rPr>
        <w:t>environmental aspects outside the reaction batch, before everything gets inside and the process starts. In certain way this lagging or retrospective look has much to say about the ecological footprint of the process</w:t>
      </w:r>
      <w:r w:rsidR="004712AF" w:rsidRPr="00B37594">
        <w:rPr>
          <w:lang w:val="en-US"/>
        </w:rPr>
        <w:t xml:space="preserve">. </w:t>
      </w:r>
      <w:r w:rsidR="009411FA">
        <w:rPr>
          <w:lang w:val="en-US"/>
        </w:rPr>
        <w:t xml:space="preserve">At the same time, it is possible </w:t>
      </w:r>
      <w:r w:rsidR="00B8528A">
        <w:rPr>
          <w:lang w:val="en-US"/>
        </w:rPr>
        <w:t xml:space="preserve">involve leading metrics elements by accounting lifetime of equipment and recyclability of solvents and auxiliary materials, which is basically the next level of metrics. </w:t>
      </w:r>
      <w:r w:rsidR="003E00A4">
        <w:rPr>
          <w:lang w:val="en-US"/>
        </w:rPr>
        <w:t>Thus, it is obvious that there is a need in more complex approaches to green metrics for chemical processes and technologies.</w:t>
      </w:r>
    </w:p>
    <w:p w14:paraId="2CCBAFA0" w14:textId="0F91C900" w:rsidR="00DE2EAD" w:rsidRPr="00B37594" w:rsidRDefault="00DE2EAD" w:rsidP="00DE2EAD">
      <w:pPr>
        <w:spacing w:before="120" w:after="120"/>
        <w:jc w:val="center"/>
        <w:rPr>
          <w:b/>
          <w:lang w:val="en-US"/>
        </w:rPr>
      </w:pPr>
      <w:r>
        <w:rPr>
          <w:b/>
          <w:lang w:val="en-US"/>
        </w:rPr>
        <w:t>Approaching Efficient Integrated M</w:t>
      </w:r>
      <w:r w:rsidRPr="00B37594">
        <w:rPr>
          <w:b/>
          <w:lang w:val="en-US"/>
        </w:rPr>
        <w:t>etrics</w:t>
      </w:r>
      <w:r>
        <w:rPr>
          <w:b/>
          <w:lang w:val="en-US"/>
        </w:rPr>
        <w:t xml:space="preserve"> </w:t>
      </w:r>
    </w:p>
    <w:p w14:paraId="6A93606D" w14:textId="579EC160" w:rsidR="00C574AC" w:rsidRDefault="00DE2EAD" w:rsidP="003E00A4">
      <w:pPr>
        <w:tabs>
          <w:tab w:val="left" w:pos="198"/>
        </w:tabs>
        <w:spacing w:line="276" w:lineRule="auto"/>
        <w:ind w:firstLine="567"/>
        <w:jc w:val="both"/>
        <w:rPr>
          <w:lang w:val="en-US"/>
        </w:rPr>
      </w:pPr>
      <w:r>
        <w:rPr>
          <w:lang w:val="en-US"/>
        </w:rPr>
        <w:t xml:space="preserve">The development of better </w:t>
      </w:r>
      <w:r w:rsidRPr="00B37594">
        <w:rPr>
          <w:lang w:val="en-US"/>
        </w:rPr>
        <w:t>metrics</w:t>
      </w:r>
      <w:r w:rsidR="003E00A4">
        <w:rPr>
          <w:lang w:val="en-US"/>
        </w:rPr>
        <w:t xml:space="preserve"> inevitably leads to complication of metrics. At the same </w:t>
      </w:r>
      <w:r w:rsidR="008D4E9F">
        <w:rPr>
          <w:lang w:val="en-US"/>
        </w:rPr>
        <w:t>time,</w:t>
      </w:r>
      <w:r w:rsidR="003E00A4">
        <w:rPr>
          <w:lang w:val="en-US"/>
        </w:rPr>
        <w:t xml:space="preserve"> it must be still applicable,</w:t>
      </w:r>
      <w:r w:rsidR="003E00A4">
        <w:t xml:space="preserve"> </w:t>
      </w:r>
      <w:r w:rsidR="003E00A4">
        <w:rPr>
          <w:lang w:val="en-US"/>
        </w:rPr>
        <w:t xml:space="preserve">meaning it should be manageable by designers of chemical processes and technologies without long and detailed research work involved. </w:t>
      </w:r>
      <w:r w:rsidR="00C574AC">
        <w:rPr>
          <w:lang w:val="en-US"/>
        </w:rPr>
        <w:t xml:space="preserve">Such developments as </w:t>
      </w:r>
      <w:r w:rsidR="00C574AC" w:rsidRPr="00B37594">
        <w:rPr>
          <w:lang w:val="en-US"/>
        </w:rPr>
        <w:t>Green Aspiration Level</w:t>
      </w:r>
      <w:r w:rsidR="00C574AC">
        <w:rPr>
          <w:lang w:val="en-US"/>
        </w:rPr>
        <w:t xml:space="preserve"> </w:t>
      </w:r>
      <w:r w:rsidR="00C61464">
        <w:rPr>
          <w:lang w:val="en-US"/>
        </w:rPr>
        <w:t>[</w:t>
      </w:r>
      <w:r w:rsidR="00542304">
        <w:rPr>
          <w:lang w:val="en-US"/>
        </w:rPr>
        <w:t>4</w:t>
      </w:r>
      <w:r w:rsidR="00C61464">
        <w:rPr>
          <w:lang w:val="en-US"/>
        </w:rPr>
        <w:t xml:space="preserve">] and </w:t>
      </w:r>
      <w:r w:rsidR="00C61464" w:rsidRPr="00C61464">
        <w:rPr>
          <w:lang w:val="en-US"/>
        </w:rPr>
        <w:t xml:space="preserve">CHEM 21 </w:t>
      </w:r>
      <w:r w:rsidR="00C61464">
        <w:rPr>
          <w:lang w:val="en-US"/>
        </w:rPr>
        <w:t>toolkit [</w:t>
      </w:r>
      <w:r w:rsidR="00542304">
        <w:rPr>
          <w:lang w:val="en-US"/>
        </w:rPr>
        <w:t>5</w:t>
      </w:r>
      <w:r w:rsidR="00C61464">
        <w:rPr>
          <w:lang w:val="en-US"/>
        </w:rPr>
        <w:t>]</w:t>
      </w:r>
      <w:r w:rsidR="00C61464" w:rsidRPr="00C61464">
        <w:rPr>
          <w:lang w:val="en-US"/>
        </w:rPr>
        <w:t xml:space="preserve"> </w:t>
      </w:r>
      <w:r w:rsidR="00C574AC">
        <w:rPr>
          <w:lang w:val="en-US"/>
        </w:rPr>
        <w:t xml:space="preserve">provide a very complete picture of chemical technologies environmental profile and </w:t>
      </w:r>
      <w:r w:rsidR="008D4E9F">
        <w:rPr>
          <w:lang w:val="en-US"/>
        </w:rPr>
        <w:t>sustainability</w:t>
      </w:r>
      <w:r w:rsidR="00C574AC">
        <w:rPr>
          <w:lang w:val="en-US"/>
        </w:rPr>
        <w:t>, but they also represent the cases of task, which needs special</w:t>
      </w:r>
      <w:r w:rsidR="00EB1602">
        <w:rPr>
          <w:lang w:val="en-US"/>
        </w:rPr>
        <w:t xml:space="preserve">ly allocated resources and time. </w:t>
      </w:r>
    </w:p>
    <w:p w14:paraId="0E16EEE8" w14:textId="173BC222" w:rsidR="003E00A4" w:rsidRPr="003E00A4" w:rsidRDefault="003E00A4" w:rsidP="003E00A4">
      <w:pPr>
        <w:tabs>
          <w:tab w:val="left" w:pos="198"/>
        </w:tabs>
        <w:spacing w:line="276" w:lineRule="auto"/>
        <w:ind w:firstLine="567"/>
        <w:jc w:val="both"/>
        <w:rPr>
          <w:lang w:val="en-US"/>
        </w:rPr>
      </w:pPr>
      <w:r>
        <w:rPr>
          <w:lang w:val="en-US"/>
        </w:rPr>
        <w:t xml:space="preserve">Overall, </w:t>
      </w:r>
      <w:r w:rsidR="00C574AC">
        <w:rPr>
          <w:lang w:val="en-US"/>
        </w:rPr>
        <w:t>efficient</w:t>
      </w:r>
      <w:r w:rsidRPr="003E00A4">
        <w:rPr>
          <w:lang w:val="en-US"/>
        </w:rPr>
        <w:t xml:space="preserve"> indicators must be</w:t>
      </w:r>
      <w:r w:rsidR="00C574AC">
        <w:rPr>
          <w:lang w:val="en-US"/>
        </w:rPr>
        <w:t xml:space="preserve"> reliable, that is based on real measurable data, sensitive to minor differences between comparable systems and rely on accessible information. The latter one can be a special problem, since information about sustainability aspects is not clearly defined, lacking or has fragmented character. The most well defined is toxicity profile for substances, but when it comes to innovative technologies there might be completely new entries, for which relevant safety levels are confirmed for human based on animal studies, but environmental hazards are not considered yet. In such case standard approaches like analogues and biological activity of chemical bounds can be of use.</w:t>
      </w:r>
    </w:p>
    <w:p w14:paraId="0240FE2B" w14:textId="0792EF04" w:rsidR="00E61021" w:rsidRDefault="00C574AC">
      <w:pPr>
        <w:tabs>
          <w:tab w:val="left" w:pos="198"/>
        </w:tabs>
        <w:spacing w:line="276" w:lineRule="auto"/>
        <w:ind w:firstLine="567"/>
        <w:jc w:val="both"/>
        <w:rPr>
          <w:lang w:val="en-US"/>
        </w:rPr>
      </w:pPr>
      <w:r>
        <w:rPr>
          <w:lang w:val="en-US"/>
        </w:rPr>
        <w:t>The other boundary, which sets framework for integrated indices</w:t>
      </w:r>
      <w:r w:rsidR="00EB1602">
        <w:rPr>
          <w:lang w:val="en-US"/>
        </w:rPr>
        <w:t>,</w:t>
      </w:r>
      <w:r>
        <w:rPr>
          <w:lang w:val="en-US"/>
        </w:rPr>
        <w:t xml:space="preserve"> is the</w:t>
      </w:r>
      <w:r w:rsidR="00EB1602">
        <w:rPr>
          <w:lang w:val="en-US"/>
        </w:rPr>
        <w:t>ir</w:t>
      </w:r>
      <w:r>
        <w:rPr>
          <w:lang w:val="en-US"/>
        </w:rPr>
        <w:t xml:space="preserve"> understandability </w:t>
      </w:r>
      <w:r w:rsidR="00EB1602">
        <w:rPr>
          <w:lang w:val="en-US"/>
        </w:rPr>
        <w:t xml:space="preserve">by users with minimal environmental background </w:t>
      </w:r>
      <w:r>
        <w:rPr>
          <w:lang w:val="en-US"/>
        </w:rPr>
        <w:t xml:space="preserve">and clear interpretation </w:t>
      </w:r>
      <w:r w:rsidR="00EB1602">
        <w:rPr>
          <w:lang w:val="en-US"/>
        </w:rPr>
        <w:t xml:space="preserve">of the </w:t>
      </w:r>
      <w:r w:rsidR="005F0B71">
        <w:rPr>
          <w:lang w:val="en-US"/>
        </w:rPr>
        <w:t xml:space="preserve">results obtained. </w:t>
      </w:r>
      <w:r w:rsidR="007137B6">
        <w:rPr>
          <w:lang w:val="en-US"/>
        </w:rPr>
        <w:t xml:space="preserve">There we come back to the </w:t>
      </w:r>
      <w:r w:rsidR="008D4E9F">
        <w:rPr>
          <w:lang w:val="en-US"/>
        </w:rPr>
        <w:t>purpose</w:t>
      </w:r>
      <w:r w:rsidR="007137B6">
        <w:rPr>
          <w:lang w:val="en-US"/>
        </w:rPr>
        <w:t xml:space="preserve"> of the green metrics. It was initially created and further amended with new indices providing better perspectives and valuations from the point of the Green Chemistry Principles</w:t>
      </w:r>
      <w:r w:rsidR="00A329E5">
        <w:rPr>
          <w:lang w:val="en-US"/>
        </w:rPr>
        <w:t>, which have adapted the need to provide environmental</w:t>
      </w:r>
      <w:r w:rsidR="007137B6">
        <w:rPr>
          <w:lang w:val="en-US"/>
        </w:rPr>
        <w:t xml:space="preserve"> process efficiency and reduction of negative externalities</w:t>
      </w:r>
      <w:r w:rsidR="00A329E5">
        <w:rPr>
          <w:lang w:val="en-US"/>
        </w:rPr>
        <w:t>. However, most of the metrics provided cover some of the principles and those, which</w:t>
      </w:r>
      <w:r w:rsidR="007137B6">
        <w:rPr>
          <w:lang w:val="en-US"/>
        </w:rPr>
        <w:t xml:space="preserve"> </w:t>
      </w:r>
      <w:r w:rsidR="00A329E5">
        <w:rPr>
          <w:lang w:val="en-US"/>
        </w:rPr>
        <w:t xml:space="preserve">attempt to cover all of them are not numerous, but they should be the target for further research. In particular, </w:t>
      </w:r>
      <w:proofErr w:type="spellStart"/>
      <w:r w:rsidR="00A329E5">
        <w:rPr>
          <w:lang w:val="en-US"/>
        </w:rPr>
        <w:t>EcoScale</w:t>
      </w:r>
      <w:proofErr w:type="spellEnd"/>
      <w:r w:rsidR="00A329E5">
        <w:rPr>
          <w:lang w:val="en-US"/>
        </w:rPr>
        <w:t xml:space="preserve"> by </w:t>
      </w:r>
      <w:r w:rsidR="00A329E5" w:rsidRPr="00A329E5">
        <w:rPr>
          <w:lang w:val="en-US"/>
        </w:rPr>
        <w:t xml:space="preserve">Van </w:t>
      </w:r>
      <w:proofErr w:type="spellStart"/>
      <w:r w:rsidR="00A329E5" w:rsidRPr="00A329E5">
        <w:rPr>
          <w:lang w:val="en-US"/>
        </w:rPr>
        <w:t>Aken</w:t>
      </w:r>
      <w:proofErr w:type="spellEnd"/>
      <w:r w:rsidR="00A329E5">
        <w:rPr>
          <w:lang w:val="en-US"/>
        </w:rPr>
        <w:t xml:space="preserve"> et al., Green Star, </w:t>
      </w:r>
      <w:r w:rsidR="00A329E5" w:rsidRPr="00A329E5">
        <w:rPr>
          <w:lang w:val="en-US"/>
        </w:rPr>
        <w:t>Color-Likert scale</w:t>
      </w:r>
      <w:r w:rsidR="00A329E5">
        <w:rPr>
          <w:lang w:val="en-US"/>
        </w:rPr>
        <w:t xml:space="preserve"> with hybrid assessment approach from Morales-Galicia et al.</w:t>
      </w:r>
      <w:r w:rsidR="00542304">
        <w:rPr>
          <w:lang w:val="en-US"/>
        </w:rPr>
        <w:t>,</w:t>
      </w:r>
      <w:r w:rsidR="00A329E5">
        <w:rPr>
          <w:lang w:val="en-US"/>
        </w:rPr>
        <w:t xml:space="preserve"> </w:t>
      </w:r>
      <w:proofErr w:type="spellStart"/>
      <w:r w:rsidR="00A329E5" w:rsidRPr="00A329E5">
        <w:rPr>
          <w:lang w:val="en-US"/>
        </w:rPr>
        <w:t>iSUSTAIN</w:t>
      </w:r>
      <w:proofErr w:type="spellEnd"/>
      <w:r w:rsidR="00A329E5" w:rsidRPr="00A329E5">
        <w:rPr>
          <w:lang w:val="en-US"/>
        </w:rPr>
        <w:t xml:space="preserve">® tool </w:t>
      </w:r>
      <w:r w:rsidR="00A329E5">
        <w:rPr>
          <w:lang w:val="en-US"/>
        </w:rPr>
        <w:t xml:space="preserve">and Green </w:t>
      </w:r>
      <w:r w:rsidR="00343DF7">
        <w:rPr>
          <w:lang w:val="en-US"/>
        </w:rPr>
        <w:t>Synthesis</w:t>
      </w:r>
      <w:r w:rsidR="00A329E5">
        <w:rPr>
          <w:lang w:val="en-US"/>
        </w:rPr>
        <w:t xml:space="preserve"> procedure by </w:t>
      </w:r>
      <w:r w:rsidR="00A329E5" w:rsidRPr="00A329E5">
        <w:rPr>
          <w:lang w:val="en-US"/>
        </w:rPr>
        <w:t xml:space="preserve">Duarte et al. </w:t>
      </w:r>
      <w:r w:rsidR="00A329E5">
        <w:rPr>
          <w:lang w:val="en-US"/>
        </w:rPr>
        <w:t xml:space="preserve">are successful examples of such approach. Most of them use a combination of mass-based, impact-based and lagging/leading metrics, providing a good final perspective. However, most of them were developed over 10 years ago and there is </w:t>
      </w:r>
      <w:r w:rsidR="00E61021">
        <w:rPr>
          <w:lang w:val="en-US"/>
        </w:rPr>
        <w:t xml:space="preserve">a demand for new approach. The review of the green </w:t>
      </w:r>
      <w:r w:rsidR="00343DF7">
        <w:rPr>
          <w:lang w:val="en-US"/>
        </w:rPr>
        <w:t>metrics</w:t>
      </w:r>
      <w:r w:rsidR="00E61021">
        <w:rPr>
          <w:lang w:val="en-US"/>
        </w:rPr>
        <w:t xml:space="preserve"> performed by Martinez et al. [</w:t>
      </w:r>
      <w:r w:rsidR="00542304">
        <w:rPr>
          <w:lang w:val="en-US"/>
        </w:rPr>
        <w:t>6</w:t>
      </w:r>
      <w:r w:rsidR="00E61021">
        <w:rPr>
          <w:lang w:val="en-US"/>
        </w:rPr>
        <w:t xml:space="preserve">] shows now improvements since that time, while the </w:t>
      </w:r>
      <w:r w:rsidR="00343DF7">
        <w:rPr>
          <w:lang w:val="en-US"/>
        </w:rPr>
        <w:t>approaches</w:t>
      </w:r>
      <w:r w:rsidR="00E61021">
        <w:rPr>
          <w:lang w:val="en-US"/>
        </w:rPr>
        <w:t xml:space="preserve"> to measuring sustainability and environmental performance have evolved considerably.</w:t>
      </w:r>
    </w:p>
    <w:p w14:paraId="0FE0549E" w14:textId="2BB16A0D" w:rsidR="00E61021" w:rsidRDefault="00E61021">
      <w:pPr>
        <w:tabs>
          <w:tab w:val="left" w:pos="198"/>
        </w:tabs>
        <w:spacing w:line="276" w:lineRule="auto"/>
        <w:ind w:firstLine="567"/>
        <w:jc w:val="both"/>
        <w:rPr>
          <w:lang w:val="en-US"/>
        </w:rPr>
      </w:pPr>
      <w:r>
        <w:rPr>
          <w:lang w:val="en-US"/>
        </w:rPr>
        <w:t>As a result, our ide</w:t>
      </w:r>
      <w:r w:rsidR="00343DF7">
        <w:rPr>
          <w:lang w:val="en-US"/>
        </w:rPr>
        <w:t>a</w:t>
      </w:r>
      <w:r>
        <w:rPr>
          <w:lang w:val="en-US"/>
        </w:rPr>
        <w:t xml:space="preserve"> is that such metrics </w:t>
      </w:r>
      <w:r w:rsidR="00343DF7">
        <w:rPr>
          <w:lang w:val="en-US"/>
        </w:rPr>
        <w:t>shouldn’t</w:t>
      </w:r>
      <w:r>
        <w:rPr>
          <w:lang w:val="en-US"/>
        </w:rPr>
        <w:t xml:space="preserve"> follow only the Green Chemistry Principles, but include at least </w:t>
      </w:r>
      <w:r w:rsidR="00C61464">
        <w:rPr>
          <w:lang w:val="en-US"/>
        </w:rPr>
        <w:t>3</w:t>
      </w:r>
      <w:r>
        <w:rPr>
          <w:lang w:val="en-US"/>
        </w:rPr>
        <w:t xml:space="preserve"> additional environmental </w:t>
      </w:r>
      <w:r w:rsidR="00C61464">
        <w:rPr>
          <w:lang w:val="en-US"/>
        </w:rPr>
        <w:t xml:space="preserve">and sustainability </w:t>
      </w:r>
      <w:r>
        <w:rPr>
          <w:lang w:val="en-US"/>
        </w:rPr>
        <w:t>parameters:</w:t>
      </w:r>
    </w:p>
    <w:p w14:paraId="1C6C4845" w14:textId="3537A5A4" w:rsidR="00E61021" w:rsidRDefault="00E61021" w:rsidP="00542304">
      <w:pPr>
        <w:pStyle w:val="af0"/>
        <w:numPr>
          <w:ilvl w:val="0"/>
          <w:numId w:val="9"/>
        </w:numPr>
        <w:tabs>
          <w:tab w:val="left" w:pos="851"/>
        </w:tabs>
        <w:spacing w:line="276" w:lineRule="auto"/>
        <w:ind w:left="0" w:firstLine="567"/>
        <w:jc w:val="both"/>
        <w:rPr>
          <w:lang w:val="en-US"/>
        </w:rPr>
      </w:pPr>
      <w:r>
        <w:rPr>
          <w:lang w:val="en-US"/>
        </w:rPr>
        <w:t>The</w:t>
      </w:r>
      <w:r w:rsidRPr="00E61021">
        <w:rPr>
          <w:lang w:val="en-US"/>
        </w:rPr>
        <w:t xml:space="preserve"> index of specific environmental effect</w:t>
      </w:r>
      <w:r>
        <w:rPr>
          <w:lang w:val="en-US"/>
        </w:rPr>
        <w:t xml:space="preserve"> </w:t>
      </w:r>
      <w:r w:rsidR="0070640B">
        <w:rPr>
          <w:lang w:val="en-US"/>
        </w:rPr>
        <w:t>–</w:t>
      </w:r>
      <w:r>
        <w:rPr>
          <w:lang w:val="en-US"/>
        </w:rPr>
        <w:t xml:space="preserve"> </w:t>
      </w:r>
      <w:r w:rsidRPr="00E61021">
        <w:rPr>
          <w:lang w:val="en-US"/>
        </w:rPr>
        <w:t>ozone</w:t>
      </w:r>
      <w:r w:rsidR="0070640B">
        <w:rPr>
          <w:lang w:val="en-US"/>
        </w:rPr>
        <w:t xml:space="preserve"> </w:t>
      </w:r>
      <w:r w:rsidRPr="00E61021">
        <w:rPr>
          <w:lang w:val="en-US"/>
        </w:rPr>
        <w:t xml:space="preserve">depletion/generation potential, acidification potential, eutrophication potential, if they are available and if </w:t>
      </w:r>
      <w:r w:rsidR="00343DF7" w:rsidRPr="00E61021">
        <w:rPr>
          <w:lang w:val="en-US"/>
        </w:rPr>
        <w:t>not,</w:t>
      </w:r>
      <w:r w:rsidRPr="00E61021">
        <w:rPr>
          <w:lang w:val="en-US"/>
        </w:rPr>
        <w:t xml:space="preserve"> the methodology must </w:t>
      </w:r>
      <w:r>
        <w:rPr>
          <w:lang w:val="en-US"/>
        </w:rPr>
        <w:t>include provisions to account the absence of this effect different from the score in case of the absence of information about related effect</w:t>
      </w:r>
    </w:p>
    <w:p w14:paraId="6BA15550" w14:textId="2691224B" w:rsidR="007137B6" w:rsidRDefault="00E61021" w:rsidP="00542304">
      <w:pPr>
        <w:pStyle w:val="af0"/>
        <w:numPr>
          <w:ilvl w:val="0"/>
          <w:numId w:val="9"/>
        </w:numPr>
        <w:tabs>
          <w:tab w:val="left" w:pos="851"/>
        </w:tabs>
        <w:spacing w:line="276" w:lineRule="auto"/>
        <w:ind w:left="0" w:firstLine="567"/>
        <w:jc w:val="both"/>
        <w:rPr>
          <w:lang w:val="en-US"/>
        </w:rPr>
      </w:pPr>
      <w:r w:rsidRPr="00E61021">
        <w:rPr>
          <w:lang w:val="en-US"/>
        </w:rPr>
        <w:lastRenderedPageBreak/>
        <w:t xml:space="preserve">Carbon generation profile for at least two steps before and after the process itself, which is </w:t>
      </w:r>
      <w:r w:rsidR="00343DF7" w:rsidRPr="00E61021">
        <w:rPr>
          <w:lang w:val="en-US"/>
        </w:rPr>
        <w:t>in line</w:t>
      </w:r>
      <w:r w:rsidRPr="00E61021">
        <w:rPr>
          <w:lang w:val="en-US"/>
        </w:rPr>
        <w:t xml:space="preserve"> with current European approaches to the evaluation and notification about carbon footprint. This will be the implementation of lifecycle assessment, able to reveal hidden effects of industrial processes. </w:t>
      </w:r>
      <w:r w:rsidR="00343DF7" w:rsidRPr="00E61021">
        <w:rPr>
          <w:lang w:val="en-US"/>
        </w:rPr>
        <w:t>Additionally,</w:t>
      </w:r>
      <w:r w:rsidRPr="00E61021">
        <w:rPr>
          <w:lang w:val="en-US"/>
        </w:rPr>
        <w:t xml:space="preserve"> </w:t>
      </w:r>
      <w:r>
        <w:rPr>
          <w:lang w:val="en-US"/>
        </w:rPr>
        <w:t>w</w:t>
      </w:r>
      <w:r w:rsidRPr="00E61021">
        <w:rPr>
          <w:lang w:val="en-US"/>
        </w:rPr>
        <w:t xml:space="preserve">ater footprint of the process </w:t>
      </w:r>
      <w:r>
        <w:rPr>
          <w:lang w:val="en-US"/>
        </w:rPr>
        <w:t xml:space="preserve">could be applied separately from direct reagents </w:t>
      </w:r>
      <w:r w:rsidR="00C61464">
        <w:rPr>
          <w:lang w:val="en-US"/>
        </w:rPr>
        <w:t>and resources involved.</w:t>
      </w:r>
    </w:p>
    <w:p w14:paraId="4932BA82" w14:textId="1DF37BA4" w:rsidR="00C61464" w:rsidRPr="00E61021" w:rsidRDefault="00C61464" w:rsidP="00542304">
      <w:pPr>
        <w:pStyle w:val="af0"/>
        <w:numPr>
          <w:ilvl w:val="0"/>
          <w:numId w:val="9"/>
        </w:numPr>
        <w:tabs>
          <w:tab w:val="left" w:pos="851"/>
        </w:tabs>
        <w:spacing w:line="276" w:lineRule="auto"/>
        <w:ind w:left="0" w:firstLine="567"/>
        <w:jc w:val="both"/>
        <w:rPr>
          <w:lang w:val="en-US"/>
        </w:rPr>
      </w:pPr>
      <w:r>
        <w:rPr>
          <w:lang w:val="en-US"/>
        </w:rPr>
        <w:t>Sustainability assessment via circularity potential of all components of the process. This is partially provided by the Renewables Intensity Index, which should be extended to cover equipment and materials outside the chemical process itself.</w:t>
      </w:r>
    </w:p>
    <w:p w14:paraId="33C887DE" w14:textId="2AE81930" w:rsidR="000A0B83" w:rsidRPr="00B37594" w:rsidRDefault="00C61464">
      <w:pPr>
        <w:tabs>
          <w:tab w:val="left" w:pos="198"/>
        </w:tabs>
        <w:spacing w:line="276" w:lineRule="auto"/>
        <w:ind w:firstLine="567"/>
        <w:jc w:val="both"/>
        <w:rPr>
          <w:lang w:val="en-US"/>
        </w:rPr>
      </w:pPr>
      <w:r>
        <w:rPr>
          <w:lang w:val="en-US"/>
        </w:rPr>
        <w:t xml:space="preserve">These suggestions represent the first approach to </w:t>
      </w:r>
      <w:r w:rsidR="00343DF7">
        <w:rPr>
          <w:lang w:val="en-US"/>
        </w:rPr>
        <w:t>the</w:t>
      </w:r>
      <w:r>
        <w:rPr>
          <w:lang w:val="en-US"/>
        </w:rPr>
        <w:t xml:space="preserve"> solution of the problem and represent the pathways for further research and search for more holistic environmental and sustainability metrics for chemical industry.</w:t>
      </w:r>
      <w:r w:rsidR="0070640B" w:rsidRPr="0070640B">
        <w:rPr>
          <w:lang w:val="en-US"/>
        </w:rPr>
        <w:t xml:space="preserve"> </w:t>
      </w:r>
      <w:r w:rsidR="0070640B" w:rsidRPr="00B37594">
        <w:rPr>
          <w:lang w:val="en-US"/>
        </w:rPr>
        <w:t xml:space="preserve">The absence of </w:t>
      </w:r>
      <w:r w:rsidR="0070640B">
        <w:rPr>
          <w:lang w:val="en-US"/>
        </w:rPr>
        <w:t xml:space="preserve">single, formalized and generally accepted methodology complicates development towards SDGs and increases risks of </w:t>
      </w:r>
      <w:proofErr w:type="spellStart"/>
      <w:r w:rsidR="0070640B">
        <w:rPr>
          <w:lang w:val="en-US"/>
        </w:rPr>
        <w:t>maldecisions</w:t>
      </w:r>
      <w:proofErr w:type="spellEnd"/>
      <w:r w:rsidR="0070640B">
        <w:rPr>
          <w:lang w:val="en-US"/>
        </w:rPr>
        <w:t xml:space="preserve"> [</w:t>
      </w:r>
      <w:r w:rsidR="00542304">
        <w:rPr>
          <w:lang w:val="en-US"/>
        </w:rPr>
        <w:t>7</w:t>
      </w:r>
      <w:r w:rsidR="0070640B">
        <w:rPr>
          <w:lang w:val="en-US"/>
        </w:rPr>
        <w:t xml:space="preserve">]. </w:t>
      </w:r>
    </w:p>
    <w:p w14:paraId="2F1118DB" w14:textId="77777777" w:rsidR="000A0B83" w:rsidRPr="00B37594" w:rsidRDefault="004712AF">
      <w:pPr>
        <w:spacing w:before="120" w:after="120"/>
        <w:jc w:val="center"/>
        <w:rPr>
          <w:b/>
          <w:lang w:val="en-US"/>
        </w:rPr>
      </w:pPr>
      <w:r w:rsidRPr="00B37594">
        <w:rPr>
          <w:b/>
          <w:lang w:val="en-US"/>
        </w:rPr>
        <w:t>Conclusions</w:t>
      </w:r>
    </w:p>
    <w:p w14:paraId="006F065D" w14:textId="0DF6C4A6" w:rsidR="007137B6" w:rsidRPr="00B37594" w:rsidRDefault="007137B6" w:rsidP="0070640B">
      <w:pPr>
        <w:tabs>
          <w:tab w:val="left" w:pos="198"/>
        </w:tabs>
        <w:spacing w:line="276" w:lineRule="auto"/>
        <w:ind w:firstLine="567"/>
        <w:jc w:val="both"/>
        <w:rPr>
          <w:lang w:val="en-US"/>
        </w:rPr>
      </w:pPr>
      <w:r w:rsidRPr="00B37594">
        <w:rPr>
          <w:lang w:val="en-US"/>
        </w:rPr>
        <w:t xml:space="preserve">Since the complete elimination of </w:t>
      </w:r>
      <w:r w:rsidR="00C61464">
        <w:rPr>
          <w:lang w:val="en-US"/>
        </w:rPr>
        <w:t>all negative externalities of chemical processes in the form of environmental</w:t>
      </w:r>
      <w:r w:rsidRPr="00B37594">
        <w:rPr>
          <w:lang w:val="en-US"/>
        </w:rPr>
        <w:t xml:space="preserve"> impacts </w:t>
      </w:r>
      <w:r w:rsidR="00C61464">
        <w:rPr>
          <w:lang w:val="en-US"/>
        </w:rPr>
        <w:t xml:space="preserve">and sustainability </w:t>
      </w:r>
      <w:r w:rsidR="0070640B">
        <w:rPr>
          <w:lang w:val="en-US"/>
        </w:rPr>
        <w:t xml:space="preserve">barriers is impossible at the given level of technologies, the development of </w:t>
      </w:r>
      <w:r w:rsidR="00343DF7">
        <w:rPr>
          <w:lang w:val="en-US"/>
        </w:rPr>
        <w:t>concise</w:t>
      </w:r>
      <w:r w:rsidR="0070640B">
        <w:rPr>
          <w:lang w:val="en-US"/>
        </w:rPr>
        <w:t xml:space="preserve"> and reliable green </w:t>
      </w:r>
      <w:r w:rsidR="00343DF7">
        <w:rPr>
          <w:lang w:val="en-US"/>
        </w:rPr>
        <w:t>metrics</w:t>
      </w:r>
      <w:r w:rsidR="0070640B">
        <w:rPr>
          <w:lang w:val="en-US"/>
        </w:rPr>
        <w:t xml:space="preserve"> for comparative analysis and choosing the best </w:t>
      </w:r>
      <w:r w:rsidR="00343DF7">
        <w:rPr>
          <w:lang w:val="en-US"/>
        </w:rPr>
        <w:t>chemical</w:t>
      </w:r>
      <w:r w:rsidR="0070640B">
        <w:rPr>
          <w:lang w:val="en-US"/>
        </w:rPr>
        <w:t xml:space="preserve"> technologies is an urgent need. The analysis of the currently developed indices showed that most of them do not approach environmental aspect of technologies beyond mass and energy efficiency. </w:t>
      </w:r>
      <w:r w:rsidRPr="00B37594">
        <w:rPr>
          <w:lang w:val="en-US"/>
        </w:rPr>
        <w:t>Th</w:t>
      </w:r>
      <w:r w:rsidR="0070640B">
        <w:rPr>
          <w:lang w:val="en-US"/>
        </w:rPr>
        <w:t xml:space="preserve">is requires introduction of more complex parameter, which accounts environmental and sustainability </w:t>
      </w:r>
      <w:r w:rsidR="00343DF7">
        <w:rPr>
          <w:lang w:val="en-US"/>
        </w:rPr>
        <w:t>issues</w:t>
      </w:r>
      <w:r w:rsidR="0070640B">
        <w:rPr>
          <w:lang w:val="en-US"/>
        </w:rPr>
        <w:t xml:space="preserve"> directly and adequately. The potential for specific environmental effects, carbon and water</w:t>
      </w:r>
      <w:r w:rsidR="00343DF7">
        <w:rPr>
          <w:lang w:val="en-US"/>
        </w:rPr>
        <w:t xml:space="preserve"> footprint</w:t>
      </w:r>
      <w:r w:rsidR="0070640B">
        <w:rPr>
          <w:lang w:val="en-US"/>
        </w:rPr>
        <w:t xml:space="preserve">, as well as circulation potential were offered as amendments to the existing approaches, which assess all principles of Green Chemistry. </w:t>
      </w:r>
    </w:p>
    <w:p w14:paraId="3E53D349" w14:textId="77777777" w:rsidR="007137B6" w:rsidRPr="00B37594" w:rsidRDefault="007137B6" w:rsidP="007137B6">
      <w:pPr>
        <w:tabs>
          <w:tab w:val="left" w:pos="198"/>
        </w:tabs>
        <w:spacing w:line="276" w:lineRule="auto"/>
        <w:ind w:firstLine="567"/>
        <w:jc w:val="both"/>
        <w:rPr>
          <w:lang w:val="en-US"/>
        </w:rPr>
      </w:pPr>
      <w:r w:rsidRPr="00B37594">
        <w:rPr>
          <w:lang w:val="en-US"/>
        </w:rPr>
        <w:t>The practice of creating and using metrics demonstrates high flexibility in terms of measures, data sources, and instruments that they use. It might be some simple and short-lived, others highly complex and durable along an extended time frame and therefore using different units and scales.</w:t>
      </w:r>
    </w:p>
    <w:p w14:paraId="5BADB4D5" w14:textId="561914EA" w:rsidR="000A0B83" w:rsidRPr="00B37594" w:rsidRDefault="004712AF">
      <w:pPr>
        <w:spacing w:before="120" w:after="120"/>
        <w:jc w:val="center"/>
        <w:rPr>
          <w:b/>
          <w:lang w:val="en-US"/>
        </w:rPr>
      </w:pPr>
      <w:r w:rsidRPr="00B37594">
        <w:rPr>
          <w:b/>
          <w:lang w:val="en-US"/>
        </w:rPr>
        <w:t xml:space="preserve">References </w:t>
      </w:r>
    </w:p>
    <w:p w14:paraId="31FF2480" w14:textId="283CB2B8" w:rsidR="000A0B83" w:rsidRPr="00B37594" w:rsidRDefault="004712AF">
      <w:pPr>
        <w:spacing w:line="276" w:lineRule="auto"/>
        <w:ind w:left="567" w:hanging="567"/>
        <w:jc w:val="both"/>
        <w:rPr>
          <w:lang w:val="en-US"/>
        </w:rPr>
      </w:pPr>
      <w:r w:rsidRPr="00B37594">
        <w:rPr>
          <w:lang w:val="en-US"/>
        </w:rPr>
        <w:t>[1]</w:t>
      </w:r>
      <w:r w:rsidRPr="00B37594">
        <w:rPr>
          <w:lang w:val="en-US"/>
        </w:rPr>
        <w:tab/>
      </w:r>
      <w:r w:rsidR="00E11020" w:rsidRPr="00E11020">
        <w:rPr>
          <w:lang w:val="en-US"/>
        </w:rPr>
        <w:t>Lund, C. (2022). Green metrics in pharmaceutical development. Current Opinion in Green and Sustainable Chemistry, 33, 100564.</w:t>
      </w:r>
      <w:r w:rsidRPr="00B37594">
        <w:rPr>
          <w:lang w:val="en-US"/>
        </w:rPr>
        <w:t xml:space="preserve"> DOI: </w:t>
      </w:r>
      <w:r w:rsidR="00E11020" w:rsidRPr="00E11020">
        <w:rPr>
          <w:lang w:val="en-US"/>
        </w:rPr>
        <w:t>10.1016/j.cogsc.2021.100564</w:t>
      </w:r>
    </w:p>
    <w:p w14:paraId="64DE847A" w14:textId="654E0EF5" w:rsidR="0045763F" w:rsidRDefault="004712AF">
      <w:pPr>
        <w:spacing w:line="276" w:lineRule="auto"/>
        <w:ind w:left="567" w:hanging="567"/>
        <w:jc w:val="both"/>
        <w:rPr>
          <w:lang w:val="en-US"/>
        </w:rPr>
      </w:pPr>
      <w:r w:rsidRPr="00B37594">
        <w:rPr>
          <w:lang w:val="en-US"/>
        </w:rPr>
        <w:t>[2]</w:t>
      </w:r>
      <w:r w:rsidRPr="00B37594">
        <w:rPr>
          <w:lang w:val="en-US"/>
        </w:rPr>
        <w:tab/>
      </w:r>
      <w:proofErr w:type="spellStart"/>
      <w:r w:rsidR="00542304" w:rsidRPr="00E11020">
        <w:rPr>
          <w:lang w:val="en-US"/>
        </w:rPr>
        <w:t>Fantozzi</w:t>
      </w:r>
      <w:proofErr w:type="spellEnd"/>
      <w:r w:rsidR="00542304" w:rsidRPr="00E11020">
        <w:rPr>
          <w:lang w:val="en-US"/>
        </w:rPr>
        <w:t xml:space="preserve">, N., </w:t>
      </w:r>
      <w:proofErr w:type="spellStart"/>
      <w:r w:rsidR="00542304" w:rsidRPr="00E11020">
        <w:rPr>
          <w:lang w:val="en-US"/>
        </w:rPr>
        <w:t>Volle</w:t>
      </w:r>
      <w:proofErr w:type="spellEnd"/>
      <w:r w:rsidR="00542304" w:rsidRPr="00E11020">
        <w:rPr>
          <w:lang w:val="en-US"/>
        </w:rPr>
        <w:t xml:space="preserve">, J. N., </w:t>
      </w:r>
      <w:proofErr w:type="spellStart"/>
      <w:r w:rsidR="00542304" w:rsidRPr="00E11020">
        <w:rPr>
          <w:lang w:val="en-US"/>
        </w:rPr>
        <w:t>Porcheddu</w:t>
      </w:r>
      <w:proofErr w:type="spellEnd"/>
      <w:r w:rsidR="00542304" w:rsidRPr="00E11020">
        <w:rPr>
          <w:lang w:val="en-US"/>
        </w:rPr>
        <w:t xml:space="preserve">, A., </w:t>
      </w:r>
      <w:proofErr w:type="spellStart"/>
      <w:r w:rsidR="00542304" w:rsidRPr="00E11020">
        <w:rPr>
          <w:lang w:val="en-US"/>
        </w:rPr>
        <w:t>Virieux</w:t>
      </w:r>
      <w:proofErr w:type="spellEnd"/>
      <w:r w:rsidR="00542304" w:rsidRPr="00E11020">
        <w:rPr>
          <w:lang w:val="en-US"/>
        </w:rPr>
        <w:t xml:space="preserve">, D., García, F., &amp; </w:t>
      </w:r>
      <w:proofErr w:type="spellStart"/>
      <w:r w:rsidR="00542304" w:rsidRPr="00E11020">
        <w:rPr>
          <w:lang w:val="en-US"/>
        </w:rPr>
        <w:t>Colacino</w:t>
      </w:r>
      <w:proofErr w:type="spellEnd"/>
      <w:r w:rsidR="00542304" w:rsidRPr="00E11020">
        <w:rPr>
          <w:lang w:val="en-US"/>
        </w:rPr>
        <w:t xml:space="preserve">, E. (2023). Green metrics in mechanochemistry. Chemical Society Reviews. </w:t>
      </w:r>
      <w:r w:rsidR="00542304" w:rsidRPr="003E59B3">
        <w:rPr>
          <w:lang w:val="en-US"/>
        </w:rPr>
        <w:t>52, 6680-6714</w:t>
      </w:r>
      <w:r w:rsidR="00542304">
        <w:rPr>
          <w:lang w:val="en-US"/>
        </w:rPr>
        <w:t>.</w:t>
      </w:r>
      <w:r w:rsidR="00542304" w:rsidRPr="003E59B3">
        <w:rPr>
          <w:lang w:val="en-US"/>
        </w:rPr>
        <w:t xml:space="preserve"> </w:t>
      </w:r>
      <w:r w:rsidR="00542304" w:rsidRPr="00B37594">
        <w:rPr>
          <w:lang w:val="en-US"/>
        </w:rPr>
        <w:t xml:space="preserve">DOI: </w:t>
      </w:r>
      <w:r w:rsidR="00542304" w:rsidRPr="00E11020">
        <w:rPr>
          <w:lang w:val="en-US"/>
        </w:rPr>
        <w:t>10.1039/D2CS00997H</w:t>
      </w:r>
    </w:p>
    <w:p w14:paraId="2E0E32BB" w14:textId="7138CF8D" w:rsidR="000A0B83" w:rsidRDefault="004712AF">
      <w:pPr>
        <w:spacing w:line="276" w:lineRule="auto"/>
        <w:ind w:left="567" w:hanging="567"/>
        <w:jc w:val="both"/>
        <w:rPr>
          <w:lang w:val="en-US"/>
        </w:rPr>
      </w:pPr>
      <w:r w:rsidRPr="00B37594">
        <w:rPr>
          <w:lang w:val="en-US"/>
        </w:rPr>
        <w:t>[3]</w:t>
      </w:r>
      <w:r w:rsidRPr="00B37594">
        <w:rPr>
          <w:lang w:val="en-US"/>
        </w:rPr>
        <w:tab/>
      </w:r>
      <w:proofErr w:type="spellStart"/>
      <w:r w:rsidR="00542304" w:rsidRPr="0045763F">
        <w:t>Murphy</w:t>
      </w:r>
      <w:proofErr w:type="spellEnd"/>
      <w:r w:rsidR="00542304" w:rsidRPr="0045763F">
        <w:t xml:space="preserve">, E., </w:t>
      </w:r>
      <w:proofErr w:type="spellStart"/>
      <w:r w:rsidR="00542304" w:rsidRPr="0045763F">
        <w:t>Walsh</w:t>
      </w:r>
      <w:proofErr w:type="spellEnd"/>
      <w:r w:rsidR="00542304" w:rsidRPr="0045763F">
        <w:t xml:space="preserve">, P. P., &amp; </w:t>
      </w:r>
      <w:proofErr w:type="spellStart"/>
      <w:r w:rsidR="00542304" w:rsidRPr="0045763F">
        <w:t>Banerjee</w:t>
      </w:r>
      <w:proofErr w:type="spellEnd"/>
      <w:r w:rsidR="00542304" w:rsidRPr="0045763F">
        <w:t xml:space="preserve">, A. (2021). </w:t>
      </w:r>
      <w:proofErr w:type="spellStart"/>
      <w:r w:rsidR="00542304" w:rsidRPr="0045763F">
        <w:t>Framework</w:t>
      </w:r>
      <w:proofErr w:type="spellEnd"/>
      <w:r w:rsidR="00542304" w:rsidRPr="0045763F">
        <w:t xml:space="preserve"> </w:t>
      </w:r>
      <w:proofErr w:type="spellStart"/>
      <w:r w:rsidR="00542304" w:rsidRPr="0045763F">
        <w:t>for</w:t>
      </w:r>
      <w:proofErr w:type="spellEnd"/>
      <w:r w:rsidR="00542304" w:rsidRPr="0045763F">
        <w:t xml:space="preserve"> </w:t>
      </w:r>
      <w:proofErr w:type="spellStart"/>
      <w:r w:rsidR="00542304" w:rsidRPr="0045763F">
        <w:t>achieving</w:t>
      </w:r>
      <w:proofErr w:type="spellEnd"/>
      <w:r w:rsidR="00542304" w:rsidRPr="0045763F">
        <w:t xml:space="preserve"> </w:t>
      </w:r>
      <w:proofErr w:type="spellStart"/>
      <w:r w:rsidR="00542304" w:rsidRPr="0045763F">
        <w:t>the</w:t>
      </w:r>
      <w:proofErr w:type="spellEnd"/>
      <w:r w:rsidR="00542304" w:rsidRPr="0045763F">
        <w:t xml:space="preserve"> </w:t>
      </w:r>
      <w:proofErr w:type="spellStart"/>
      <w:r w:rsidR="00542304" w:rsidRPr="0045763F">
        <w:t>environmental</w:t>
      </w:r>
      <w:proofErr w:type="spellEnd"/>
      <w:r w:rsidR="00542304" w:rsidRPr="0045763F">
        <w:t xml:space="preserve"> </w:t>
      </w:r>
      <w:proofErr w:type="spellStart"/>
      <w:r w:rsidR="00542304" w:rsidRPr="0045763F">
        <w:t>sustainable</w:t>
      </w:r>
      <w:proofErr w:type="spellEnd"/>
      <w:r w:rsidR="00542304" w:rsidRPr="0045763F">
        <w:t xml:space="preserve"> </w:t>
      </w:r>
      <w:proofErr w:type="spellStart"/>
      <w:r w:rsidR="00542304" w:rsidRPr="0045763F">
        <w:t>development</w:t>
      </w:r>
      <w:proofErr w:type="spellEnd"/>
      <w:r w:rsidR="00542304" w:rsidRPr="0045763F">
        <w:t xml:space="preserve"> </w:t>
      </w:r>
      <w:proofErr w:type="spellStart"/>
      <w:r w:rsidR="00542304" w:rsidRPr="0045763F">
        <w:t>goals</w:t>
      </w:r>
      <w:proofErr w:type="spellEnd"/>
      <w:r w:rsidR="00542304" w:rsidRPr="0045763F">
        <w:t xml:space="preserve">. </w:t>
      </w:r>
      <w:r w:rsidR="00443D41">
        <w:rPr>
          <w:lang w:val="en-US"/>
        </w:rPr>
        <w:t>EPA</w:t>
      </w:r>
      <w:r w:rsidR="00542304" w:rsidRPr="0045763F">
        <w:t xml:space="preserve">: </w:t>
      </w:r>
      <w:proofErr w:type="spellStart"/>
      <w:r w:rsidR="00542304" w:rsidRPr="0045763F">
        <w:t>Wexford</w:t>
      </w:r>
      <w:proofErr w:type="spellEnd"/>
      <w:r w:rsidR="00542304" w:rsidRPr="0045763F">
        <w:t xml:space="preserve">, </w:t>
      </w:r>
      <w:proofErr w:type="spellStart"/>
      <w:r w:rsidR="00542304" w:rsidRPr="0045763F">
        <w:t>Ireland</w:t>
      </w:r>
      <w:proofErr w:type="spellEnd"/>
      <w:r w:rsidR="00542304" w:rsidRPr="0045763F">
        <w:t>.</w:t>
      </w:r>
    </w:p>
    <w:p w14:paraId="72CCB2AA" w14:textId="72C30613" w:rsidR="0045763F" w:rsidRDefault="0045763F">
      <w:pPr>
        <w:spacing w:line="276" w:lineRule="auto"/>
        <w:ind w:left="567" w:hanging="567"/>
        <w:jc w:val="both"/>
        <w:rPr>
          <w:lang w:val="en-US"/>
        </w:rPr>
      </w:pPr>
      <w:r>
        <w:rPr>
          <w:lang w:val="en-US"/>
        </w:rPr>
        <w:t xml:space="preserve">[4]   </w:t>
      </w:r>
      <w:r w:rsidR="00542304" w:rsidRPr="00542304">
        <w:rPr>
          <w:lang w:val="en-US"/>
        </w:rPr>
        <w:t>McElroy, C. R., Constantinou, A., Jones, L. C., Summerton, L., &amp; Clark, J. H. (2015). Towards a holistic approach to metrics for the 21st century pharmaceutical industry. Green Chemistry, 17(5), 3111-3121.</w:t>
      </w:r>
      <w:r w:rsidR="00443D41">
        <w:rPr>
          <w:lang w:val="en-US"/>
        </w:rPr>
        <w:t xml:space="preserve"> DOI: </w:t>
      </w:r>
      <w:r w:rsidR="00443D41" w:rsidRPr="00443D41">
        <w:rPr>
          <w:lang w:val="en-US"/>
        </w:rPr>
        <w:t>10.1039/C5GC00340G</w:t>
      </w:r>
    </w:p>
    <w:p w14:paraId="766018BF" w14:textId="44508549" w:rsidR="0045763F" w:rsidRDefault="0045763F">
      <w:pPr>
        <w:spacing w:line="276" w:lineRule="auto"/>
        <w:ind w:left="567" w:hanging="567"/>
        <w:jc w:val="both"/>
        <w:rPr>
          <w:lang w:val="en-US"/>
        </w:rPr>
      </w:pPr>
      <w:r>
        <w:rPr>
          <w:lang w:val="en-US"/>
        </w:rPr>
        <w:t xml:space="preserve">[5]    </w:t>
      </w:r>
      <w:proofErr w:type="spellStart"/>
      <w:r w:rsidR="00443D41" w:rsidRPr="00443D41">
        <w:rPr>
          <w:lang w:val="en-US"/>
        </w:rPr>
        <w:t>Roschangar</w:t>
      </w:r>
      <w:proofErr w:type="spellEnd"/>
      <w:r w:rsidR="00443D41" w:rsidRPr="00443D41">
        <w:rPr>
          <w:lang w:val="en-US"/>
        </w:rPr>
        <w:t>, F., Sheldon, R. A., &amp; Senanayake, C. H. (2015). Overcoming barriers to green chemistry in the pharmaceutical industry–the Green Aspiration Level™ concept. Green Chemistry, 17(2), 752-768.</w:t>
      </w:r>
      <w:r w:rsidR="00443D41">
        <w:rPr>
          <w:lang w:val="en-US"/>
        </w:rPr>
        <w:t xml:space="preserve"> DOI: </w:t>
      </w:r>
      <w:r w:rsidR="00443D41" w:rsidRPr="00443D41">
        <w:rPr>
          <w:lang w:val="en-US"/>
        </w:rPr>
        <w:t>10.1039/C4GC01563K</w:t>
      </w:r>
    </w:p>
    <w:p w14:paraId="55508F0C" w14:textId="4916E5B5" w:rsidR="0045763F" w:rsidRDefault="0045763F">
      <w:pPr>
        <w:spacing w:line="276" w:lineRule="auto"/>
        <w:ind w:left="567" w:hanging="567"/>
        <w:jc w:val="both"/>
        <w:rPr>
          <w:lang w:val="en-US"/>
        </w:rPr>
      </w:pPr>
      <w:r>
        <w:rPr>
          <w:lang w:val="en-US"/>
        </w:rPr>
        <w:t>[6]</w:t>
      </w:r>
      <w:r w:rsidR="00443D41">
        <w:rPr>
          <w:lang w:val="en-US"/>
        </w:rPr>
        <w:tab/>
      </w:r>
      <w:r w:rsidR="00443D41" w:rsidRPr="00443D41">
        <w:rPr>
          <w:lang w:val="en-US"/>
        </w:rPr>
        <w:t xml:space="preserve">Martínez, J., Cortés, J. F., &amp; Miranda, R. (2022). Green Chemistry Metrics, A Review. Processes, 10(7), 1274. </w:t>
      </w:r>
      <w:r w:rsidR="00443D41">
        <w:rPr>
          <w:lang w:val="en-US"/>
        </w:rPr>
        <w:t xml:space="preserve">DOI: </w:t>
      </w:r>
      <w:r w:rsidR="00443D41" w:rsidRPr="00443D41">
        <w:rPr>
          <w:lang w:val="en-US"/>
        </w:rPr>
        <w:t>10.3390/pr10071274</w:t>
      </w:r>
    </w:p>
    <w:p w14:paraId="2B6426E0" w14:textId="7AB016B5" w:rsidR="005747FE" w:rsidRPr="00B37594" w:rsidRDefault="0045763F">
      <w:pPr>
        <w:spacing w:line="276" w:lineRule="auto"/>
        <w:ind w:left="567" w:hanging="567"/>
        <w:jc w:val="both"/>
        <w:rPr>
          <w:lang w:val="en-US"/>
        </w:rPr>
      </w:pPr>
      <w:r>
        <w:rPr>
          <w:lang w:val="en-US"/>
        </w:rPr>
        <w:t xml:space="preserve">[7] </w:t>
      </w:r>
      <w:r w:rsidR="00542304">
        <w:rPr>
          <w:lang w:val="en-US"/>
        </w:rPr>
        <w:tab/>
      </w:r>
      <w:r w:rsidR="00443D41" w:rsidRPr="00443D41">
        <w:rPr>
          <w:lang w:val="en-US"/>
        </w:rPr>
        <w:t xml:space="preserve">Ganesh, K. N., Zhang, D., Miller, S. J., </w:t>
      </w:r>
      <w:proofErr w:type="spellStart"/>
      <w:r w:rsidR="00443D41" w:rsidRPr="00443D41">
        <w:rPr>
          <w:lang w:val="en-US"/>
        </w:rPr>
        <w:t>Rossen</w:t>
      </w:r>
      <w:proofErr w:type="spellEnd"/>
      <w:r w:rsidR="00443D41" w:rsidRPr="00443D41">
        <w:rPr>
          <w:lang w:val="en-US"/>
        </w:rPr>
        <w:t xml:space="preserve">, K., </w:t>
      </w:r>
      <w:proofErr w:type="spellStart"/>
      <w:r w:rsidR="00443D41" w:rsidRPr="00443D41">
        <w:rPr>
          <w:lang w:val="en-US"/>
        </w:rPr>
        <w:t>Chirik</w:t>
      </w:r>
      <w:proofErr w:type="spellEnd"/>
      <w:r w:rsidR="00443D41" w:rsidRPr="00443D41">
        <w:rPr>
          <w:lang w:val="en-US"/>
        </w:rPr>
        <w:t xml:space="preserve">, P. J., Kozlowski, M. C., ... &amp; </w:t>
      </w:r>
      <w:proofErr w:type="spellStart"/>
      <w:r w:rsidR="00443D41" w:rsidRPr="00443D41">
        <w:rPr>
          <w:lang w:val="en-US"/>
        </w:rPr>
        <w:t>Voutchkova-Kostal</w:t>
      </w:r>
      <w:proofErr w:type="spellEnd"/>
      <w:r w:rsidR="00443D41" w:rsidRPr="00443D41">
        <w:rPr>
          <w:lang w:val="en-US"/>
        </w:rPr>
        <w:t>, A. M. (2021). Green chemistry: a framework for a sustainable future. Organometallics, 40(12), 1801-1805.</w:t>
      </w:r>
      <w:r w:rsidR="00443D41">
        <w:rPr>
          <w:lang w:val="en-US"/>
        </w:rPr>
        <w:t xml:space="preserve"> DOI: </w:t>
      </w:r>
      <w:r w:rsidR="00443D41" w:rsidRPr="00443D41">
        <w:rPr>
          <w:lang w:val="en-US"/>
        </w:rPr>
        <w:t>10.1021/acs.organomet.1c00343</w:t>
      </w:r>
    </w:p>
    <w:sectPr w:rsidR="005747FE" w:rsidRPr="00B37594">
      <w:headerReference w:type="even" r:id="rId8"/>
      <w:headerReference w:type="default" r:id="rId9"/>
      <w:type w:val="continuous"/>
      <w:pgSz w:w="11907" w:h="16839"/>
      <w:pgMar w:top="851" w:right="1418" w:bottom="1134" w:left="851" w:header="567" w:footer="567" w:gutter="284"/>
      <w:cols w:space="28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FA5EFC" w14:textId="77777777" w:rsidR="004712AF" w:rsidRDefault="004712AF">
      <w:r>
        <w:separator/>
      </w:r>
    </w:p>
  </w:endnote>
  <w:endnote w:type="continuationSeparator" w:id="0">
    <w:p w14:paraId="70E97F9D" w14:textId="77777777" w:rsidR="004712AF" w:rsidRDefault="004712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krainianJournal">
    <w:altName w:val="Calibri"/>
    <w:charset w:val="00"/>
    <w:family w:val="swiss"/>
    <w:pitch w:val="default"/>
    <w:sig w:usb0="00000000"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AFF" w:usb1="4000ACFF" w:usb2="00000001"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A7C2DE" w14:textId="77777777" w:rsidR="004712AF" w:rsidRDefault="004712AF">
      <w:r>
        <w:separator/>
      </w:r>
    </w:p>
  </w:footnote>
  <w:footnote w:type="continuationSeparator" w:id="0">
    <w:p w14:paraId="2C86DD0D" w14:textId="77777777" w:rsidR="004712AF" w:rsidRDefault="004712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93A6C" w14:textId="77777777" w:rsidR="000A0B83" w:rsidRDefault="004712AF">
    <w:pPr>
      <w:pStyle w:val="a8"/>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14:paraId="7F42F289" w14:textId="77777777" w:rsidR="000A0B83" w:rsidRDefault="000A0B83">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10F04" w14:textId="77777777" w:rsidR="000A0B83" w:rsidRDefault="000A0B83">
    <w:pPr>
      <w:pStyle w:val="a8"/>
      <w:spacing w:after="240"/>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5C22FAA0"/>
    <w:lvl w:ilvl="0" w:tplc="8AE63648">
      <w:start w:val="1"/>
      <w:numFmt w:val="bullet"/>
      <w:lvlText w:val="•"/>
      <w:lvlJc w:val="left"/>
      <w:pPr>
        <w:tabs>
          <w:tab w:val="left" w:pos="720"/>
        </w:tabs>
        <w:ind w:left="720" w:hanging="360"/>
      </w:pPr>
      <w:rPr>
        <w:rFonts w:ascii="Arial" w:hAnsi="Arial" w:hint="default"/>
      </w:rPr>
    </w:lvl>
    <w:lvl w:ilvl="1" w:tplc="EA647F46" w:tentative="1">
      <w:start w:val="1"/>
      <w:numFmt w:val="bullet"/>
      <w:lvlText w:val="•"/>
      <w:lvlJc w:val="left"/>
      <w:pPr>
        <w:tabs>
          <w:tab w:val="left" w:pos="1440"/>
        </w:tabs>
        <w:ind w:left="1440" w:hanging="360"/>
      </w:pPr>
      <w:rPr>
        <w:rFonts w:ascii="Arial" w:hAnsi="Arial" w:hint="default"/>
      </w:rPr>
    </w:lvl>
    <w:lvl w:ilvl="2" w:tplc="480E9F66" w:tentative="1">
      <w:start w:val="1"/>
      <w:numFmt w:val="bullet"/>
      <w:lvlText w:val="•"/>
      <w:lvlJc w:val="left"/>
      <w:pPr>
        <w:tabs>
          <w:tab w:val="left" w:pos="2160"/>
        </w:tabs>
        <w:ind w:left="2160" w:hanging="360"/>
      </w:pPr>
      <w:rPr>
        <w:rFonts w:ascii="Arial" w:hAnsi="Arial" w:hint="default"/>
      </w:rPr>
    </w:lvl>
    <w:lvl w:ilvl="3" w:tplc="A39AE870" w:tentative="1">
      <w:start w:val="1"/>
      <w:numFmt w:val="bullet"/>
      <w:lvlText w:val="•"/>
      <w:lvlJc w:val="left"/>
      <w:pPr>
        <w:tabs>
          <w:tab w:val="left" w:pos="2880"/>
        </w:tabs>
        <w:ind w:left="2880" w:hanging="360"/>
      </w:pPr>
      <w:rPr>
        <w:rFonts w:ascii="Arial" w:hAnsi="Arial" w:hint="default"/>
      </w:rPr>
    </w:lvl>
    <w:lvl w:ilvl="4" w:tplc="C90099F8" w:tentative="1">
      <w:start w:val="1"/>
      <w:numFmt w:val="bullet"/>
      <w:lvlText w:val="•"/>
      <w:lvlJc w:val="left"/>
      <w:pPr>
        <w:tabs>
          <w:tab w:val="left" w:pos="3600"/>
        </w:tabs>
        <w:ind w:left="3600" w:hanging="360"/>
      </w:pPr>
      <w:rPr>
        <w:rFonts w:ascii="Arial" w:hAnsi="Arial" w:hint="default"/>
      </w:rPr>
    </w:lvl>
    <w:lvl w:ilvl="5" w:tplc="33BABECE" w:tentative="1">
      <w:start w:val="1"/>
      <w:numFmt w:val="bullet"/>
      <w:lvlText w:val="•"/>
      <w:lvlJc w:val="left"/>
      <w:pPr>
        <w:tabs>
          <w:tab w:val="left" w:pos="4320"/>
        </w:tabs>
        <w:ind w:left="4320" w:hanging="360"/>
      </w:pPr>
      <w:rPr>
        <w:rFonts w:ascii="Arial" w:hAnsi="Arial" w:hint="default"/>
      </w:rPr>
    </w:lvl>
    <w:lvl w:ilvl="6" w:tplc="95F2D26A" w:tentative="1">
      <w:start w:val="1"/>
      <w:numFmt w:val="bullet"/>
      <w:lvlText w:val="•"/>
      <w:lvlJc w:val="left"/>
      <w:pPr>
        <w:tabs>
          <w:tab w:val="left" w:pos="5040"/>
        </w:tabs>
        <w:ind w:left="5040" w:hanging="360"/>
      </w:pPr>
      <w:rPr>
        <w:rFonts w:ascii="Arial" w:hAnsi="Arial" w:hint="default"/>
      </w:rPr>
    </w:lvl>
    <w:lvl w:ilvl="7" w:tplc="AB208FDC" w:tentative="1">
      <w:start w:val="1"/>
      <w:numFmt w:val="bullet"/>
      <w:lvlText w:val="•"/>
      <w:lvlJc w:val="left"/>
      <w:pPr>
        <w:tabs>
          <w:tab w:val="left" w:pos="5760"/>
        </w:tabs>
        <w:ind w:left="5760" w:hanging="360"/>
      </w:pPr>
      <w:rPr>
        <w:rFonts w:ascii="Arial" w:hAnsi="Arial" w:hint="default"/>
      </w:rPr>
    </w:lvl>
    <w:lvl w:ilvl="8" w:tplc="97E0E7F6" w:tentative="1">
      <w:start w:val="1"/>
      <w:numFmt w:val="bullet"/>
      <w:lvlText w:val="•"/>
      <w:lvlJc w:val="left"/>
      <w:pPr>
        <w:tabs>
          <w:tab w:val="left" w:pos="6480"/>
        </w:tabs>
        <w:ind w:left="6480" w:hanging="360"/>
      </w:pPr>
      <w:rPr>
        <w:rFonts w:ascii="Arial" w:hAnsi="Arial" w:hint="default"/>
      </w:rPr>
    </w:lvl>
  </w:abstractNum>
  <w:abstractNum w:abstractNumId="1" w15:restartNumberingAfterBreak="0">
    <w:nsid w:val="00000002"/>
    <w:multiLevelType w:val="hybridMultilevel"/>
    <w:tmpl w:val="DEC6D030"/>
    <w:lvl w:ilvl="0" w:tplc="646C05C4">
      <w:start w:val="1"/>
      <w:numFmt w:val="bullet"/>
      <w:lvlText w:val="•"/>
      <w:lvlJc w:val="left"/>
      <w:pPr>
        <w:tabs>
          <w:tab w:val="left" w:pos="720"/>
        </w:tabs>
        <w:ind w:left="720" w:hanging="360"/>
      </w:pPr>
      <w:rPr>
        <w:rFonts w:ascii="Arial" w:hAnsi="Arial" w:hint="default"/>
      </w:rPr>
    </w:lvl>
    <w:lvl w:ilvl="1" w:tplc="9BC2C762" w:tentative="1">
      <w:start w:val="1"/>
      <w:numFmt w:val="bullet"/>
      <w:lvlText w:val="•"/>
      <w:lvlJc w:val="left"/>
      <w:pPr>
        <w:tabs>
          <w:tab w:val="left" w:pos="1440"/>
        </w:tabs>
        <w:ind w:left="1440" w:hanging="360"/>
      </w:pPr>
      <w:rPr>
        <w:rFonts w:ascii="Arial" w:hAnsi="Arial" w:hint="default"/>
      </w:rPr>
    </w:lvl>
    <w:lvl w:ilvl="2" w:tplc="7F86B5D4" w:tentative="1">
      <w:start w:val="1"/>
      <w:numFmt w:val="bullet"/>
      <w:lvlText w:val="•"/>
      <w:lvlJc w:val="left"/>
      <w:pPr>
        <w:tabs>
          <w:tab w:val="left" w:pos="2160"/>
        </w:tabs>
        <w:ind w:left="2160" w:hanging="360"/>
      </w:pPr>
      <w:rPr>
        <w:rFonts w:ascii="Arial" w:hAnsi="Arial" w:hint="default"/>
      </w:rPr>
    </w:lvl>
    <w:lvl w:ilvl="3" w:tplc="330CDAAA" w:tentative="1">
      <w:start w:val="1"/>
      <w:numFmt w:val="bullet"/>
      <w:lvlText w:val="•"/>
      <w:lvlJc w:val="left"/>
      <w:pPr>
        <w:tabs>
          <w:tab w:val="left" w:pos="2880"/>
        </w:tabs>
        <w:ind w:left="2880" w:hanging="360"/>
      </w:pPr>
      <w:rPr>
        <w:rFonts w:ascii="Arial" w:hAnsi="Arial" w:hint="default"/>
      </w:rPr>
    </w:lvl>
    <w:lvl w:ilvl="4" w:tplc="6E96C940" w:tentative="1">
      <w:start w:val="1"/>
      <w:numFmt w:val="bullet"/>
      <w:lvlText w:val="•"/>
      <w:lvlJc w:val="left"/>
      <w:pPr>
        <w:tabs>
          <w:tab w:val="left" w:pos="3600"/>
        </w:tabs>
        <w:ind w:left="3600" w:hanging="360"/>
      </w:pPr>
      <w:rPr>
        <w:rFonts w:ascii="Arial" w:hAnsi="Arial" w:hint="default"/>
      </w:rPr>
    </w:lvl>
    <w:lvl w:ilvl="5" w:tplc="2722AE6A" w:tentative="1">
      <w:start w:val="1"/>
      <w:numFmt w:val="bullet"/>
      <w:lvlText w:val="•"/>
      <w:lvlJc w:val="left"/>
      <w:pPr>
        <w:tabs>
          <w:tab w:val="left" w:pos="4320"/>
        </w:tabs>
        <w:ind w:left="4320" w:hanging="360"/>
      </w:pPr>
      <w:rPr>
        <w:rFonts w:ascii="Arial" w:hAnsi="Arial" w:hint="default"/>
      </w:rPr>
    </w:lvl>
    <w:lvl w:ilvl="6" w:tplc="9ECA5762" w:tentative="1">
      <w:start w:val="1"/>
      <w:numFmt w:val="bullet"/>
      <w:lvlText w:val="•"/>
      <w:lvlJc w:val="left"/>
      <w:pPr>
        <w:tabs>
          <w:tab w:val="left" w:pos="5040"/>
        </w:tabs>
        <w:ind w:left="5040" w:hanging="360"/>
      </w:pPr>
      <w:rPr>
        <w:rFonts w:ascii="Arial" w:hAnsi="Arial" w:hint="default"/>
      </w:rPr>
    </w:lvl>
    <w:lvl w:ilvl="7" w:tplc="C9401DF4" w:tentative="1">
      <w:start w:val="1"/>
      <w:numFmt w:val="bullet"/>
      <w:lvlText w:val="•"/>
      <w:lvlJc w:val="left"/>
      <w:pPr>
        <w:tabs>
          <w:tab w:val="left" w:pos="5760"/>
        </w:tabs>
        <w:ind w:left="5760" w:hanging="360"/>
      </w:pPr>
      <w:rPr>
        <w:rFonts w:ascii="Arial" w:hAnsi="Arial" w:hint="default"/>
      </w:rPr>
    </w:lvl>
    <w:lvl w:ilvl="8" w:tplc="98349AE2" w:tentative="1">
      <w:start w:val="1"/>
      <w:numFmt w:val="bullet"/>
      <w:lvlText w:val="•"/>
      <w:lvlJc w:val="left"/>
      <w:pPr>
        <w:tabs>
          <w:tab w:val="left" w:pos="6480"/>
        </w:tabs>
        <w:ind w:left="6480" w:hanging="360"/>
      </w:pPr>
      <w:rPr>
        <w:rFonts w:ascii="Arial" w:hAnsi="Arial" w:hint="default"/>
      </w:rPr>
    </w:lvl>
  </w:abstractNum>
  <w:abstractNum w:abstractNumId="2" w15:restartNumberingAfterBreak="0">
    <w:nsid w:val="00000003"/>
    <w:multiLevelType w:val="multilevel"/>
    <w:tmpl w:val="267E7863"/>
    <w:lvl w:ilvl="0">
      <w:start w:val="1"/>
      <w:numFmt w:val="decimal"/>
      <w:pStyle w:val="CSIT-List"/>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3" w15:restartNumberingAfterBreak="0">
    <w:nsid w:val="00000004"/>
    <w:multiLevelType w:val="singleLevel"/>
    <w:tmpl w:val="26D32A7A"/>
    <w:lvl w:ilvl="0">
      <w:start w:val="1"/>
      <w:numFmt w:val="decimal"/>
      <w:pStyle w:val="Literature"/>
      <w:lvlText w:val="%1."/>
      <w:lvlJc w:val="left"/>
      <w:pPr>
        <w:tabs>
          <w:tab w:val="left" w:pos="567"/>
        </w:tabs>
        <w:ind w:left="567" w:hanging="567"/>
      </w:pPr>
      <w:rPr>
        <w:b w:val="0"/>
        <w:i w:val="0"/>
        <w:sz w:val="24"/>
        <w:u w:val="none"/>
      </w:rPr>
    </w:lvl>
  </w:abstractNum>
  <w:abstractNum w:abstractNumId="4" w15:restartNumberingAfterBreak="0">
    <w:nsid w:val="00000005"/>
    <w:multiLevelType w:val="multilevel"/>
    <w:tmpl w:val="27884BBE"/>
    <w:lvl w:ilvl="0">
      <w:start w:val="1"/>
      <w:numFmt w:val="bullet"/>
      <w:pStyle w:val="list10pt1"/>
      <w:lvlText w:val=""/>
      <w:lvlJc w:val="left"/>
      <w:pPr>
        <w:tabs>
          <w:tab w:val="left" w:pos="720"/>
        </w:tabs>
        <w:ind w:left="865" w:hanging="145"/>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5" w15:restartNumberingAfterBreak="0">
    <w:nsid w:val="00000006"/>
    <w:multiLevelType w:val="hybridMultilevel"/>
    <w:tmpl w:val="EB7A6234"/>
    <w:lvl w:ilvl="0" w:tplc="B8B2285A">
      <w:start w:val="1"/>
      <w:numFmt w:val="bullet"/>
      <w:lvlText w:val="•"/>
      <w:lvlJc w:val="left"/>
      <w:pPr>
        <w:tabs>
          <w:tab w:val="left" w:pos="720"/>
        </w:tabs>
        <w:ind w:left="720" w:hanging="360"/>
      </w:pPr>
      <w:rPr>
        <w:rFonts w:ascii="Arial" w:hAnsi="Arial" w:hint="default"/>
      </w:rPr>
    </w:lvl>
    <w:lvl w:ilvl="1" w:tplc="80DE5112" w:tentative="1">
      <w:start w:val="1"/>
      <w:numFmt w:val="bullet"/>
      <w:lvlText w:val="•"/>
      <w:lvlJc w:val="left"/>
      <w:pPr>
        <w:tabs>
          <w:tab w:val="left" w:pos="1440"/>
        </w:tabs>
        <w:ind w:left="1440" w:hanging="360"/>
      </w:pPr>
      <w:rPr>
        <w:rFonts w:ascii="Arial" w:hAnsi="Arial" w:hint="default"/>
      </w:rPr>
    </w:lvl>
    <w:lvl w:ilvl="2" w:tplc="9FFAACC8" w:tentative="1">
      <w:start w:val="1"/>
      <w:numFmt w:val="bullet"/>
      <w:lvlText w:val="•"/>
      <w:lvlJc w:val="left"/>
      <w:pPr>
        <w:tabs>
          <w:tab w:val="left" w:pos="2160"/>
        </w:tabs>
        <w:ind w:left="2160" w:hanging="360"/>
      </w:pPr>
      <w:rPr>
        <w:rFonts w:ascii="Arial" w:hAnsi="Arial" w:hint="default"/>
      </w:rPr>
    </w:lvl>
    <w:lvl w:ilvl="3" w:tplc="EFAA0410" w:tentative="1">
      <w:start w:val="1"/>
      <w:numFmt w:val="bullet"/>
      <w:lvlText w:val="•"/>
      <w:lvlJc w:val="left"/>
      <w:pPr>
        <w:tabs>
          <w:tab w:val="left" w:pos="2880"/>
        </w:tabs>
        <w:ind w:left="2880" w:hanging="360"/>
      </w:pPr>
      <w:rPr>
        <w:rFonts w:ascii="Arial" w:hAnsi="Arial" w:hint="default"/>
      </w:rPr>
    </w:lvl>
    <w:lvl w:ilvl="4" w:tplc="43E642A2" w:tentative="1">
      <w:start w:val="1"/>
      <w:numFmt w:val="bullet"/>
      <w:lvlText w:val="•"/>
      <w:lvlJc w:val="left"/>
      <w:pPr>
        <w:tabs>
          <w:tab w:val="left" w:pos="3600"/>
        </w:tabs>
        <w:ind w:left="3600" w:hanging="360"/>
      </w:pPr>
      <w:rPr>
        <w:rFonts w:ascii="Arial" w:hAnsi="Arial" w:hint="default"/>
      </w:rPr>
    </w:lvl>
    <w:lvl w:ilvl="5" w:tplc="9926DBD8" w:tentative="1">
      <w:start w:val="1"/>
      <w:numFmt w:val="bullet"/>
      <w:lvlText w:val="•"/>
      <w:lvlJc w:val="left"/>
      <w:pPr>
        <w:tabs>
          <w:tab w:val="left" w:pos="4320"/>
        </w:tabs>
        <w:ind w:left="4320" w:hanging="360"/>
      </w:pPr>
      <w:rPr>
        <w:rFonts w:ascii="Arial" w:hAnsi="Arial" w:hint="default"/>
      </w:rPr>
    </w:lvl>
    <w:lvl w:ilvl="6" w:tplc="7D603F28" w:tentative="1">
      <w:start w:val="1"/>
      <w:numFmt w:val="bullet"/>
      <w:lvlText w:val="•"/>
      <w:lvlJc w:val="left"/>
      <w:pPr>
        <w:tabs>
          <w:tab w:val="left" w:pos="5040"/>
        </w:tabs>
        <w:ind w:left="5040" w:hanging="360"/>
      </w:pPr>
      <w:rPr>
        <w:rFonts w:ascii="Arial" w:hAnsi="Arial" w:hint="default"/>
      </w:rPr>
    </w:lvl>
    <w:lvl w:ilvl="7" w:tplc="67E05BC8" w:tentative="1">
      <w:start w:val="1"/>
      <w:numFmt w:val="bullet"/>
      <w:lvlText w:val="•"/>
      <w:lvlJc w:val="left"/>
      <w:pPr>
        <w:tabs>
          <w:tab w:val="left" w:pos="5760"/>
        </w:tabs>
        <w:ind w:left="5760" w:hanging="360"/>
      </w:pPr>
      <w:rPr>
        <w:rFonts w:ascii="Arial" w:hAnsi="Arial" w:hint="default"/>
      </w:rPr>
    </w:lvl>
    <w:lvl w:ilvl="8" w:tplc="6C9C1D50" w:tentative="1">
      <w:start w:val="1"/>
      <w:numFmt w:val="bullet"/>
      <w:lvlText w:val="•"/>
      <w:lvlJc w:val="left"/>
      <w:pPr>
        <w:tabs>
          <w:tab w:val="left" w:pos="6480"/>
        </w:tabs>
        <w:ind w:left="6480" w:hanging="360"/>
      </w:pPr>
      <w:rPr>
        <w:rFonts w:ascii="Arial" w:hAnsi="Arial" w:hint="default"/>
      </w:rPr>
    </w:lvl>
  </w:abstractNum>
  <w:abstractNum w:abstractNumId="6" w15:restartNumberingAfterBreak="0">
    <w:nsid w:val="00000007"/>
    <w:multiLevelType w:val="multilevel"/>
    <w:tmpl w:val="6EFF6A6E"/>
    <w:lvl w:ilvl="0">
      <w:start w:val="1"/>
      <w:numFmt w:val="bullet"/>
      <w:pStyle w:val="list10pt"/>
      <w:lvlText w:val=""/>
      <w:lvlJc w:val="left"/>
      <w:pPr>
        <w:tabs>
          <w:tab w:val="left" w:pos="851"/>
        </w:tabs>
        <w:ind w:left="415" w:firstLine="436"/>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7" w15:restartNumberingAfterBreak="0">
    <w:nsid w:val="18CC7D67"/>
    <w:multiLevelType w:val="hybridMultilevel"/>
    <w:tmpl w:val="28F237CC"/>
    <w:lvl w:ilvl="0" w:tplc="1C08DF5A">
      <w:start w:val="1"/>
      <w:numFmt w:val="decimal"/>
      <w:lvlText w:val="%1."/>
      <w:lvlJc w:val="left"/>
      <w:pPr>
        <w:ind w:left="927" w:hanging="36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8" w15:restartNumberingAfterBreak="0">
    <w:nsid w:val="70067579"/>
    <w:multiLevelType w:val="multilevel"/>
    <w:tmpl w:val="FFFFFFFB"/>
    <w:lvl w:ilvl="0">
      <w:start w:val="1"/>
      <w:numFmt w:val="upperRoman"/>
      <w:pStyle w:val="1"/>
      <w:lvlText w:val="%1."/>
      <w:lvlJc w:val="left"/>
      <w:pPr>
        <w:ind w:left="170" w:hanging="170"/>
      </w:pPr>
    </w:lvl>
    <w:lvl w:ilvl="1">
      <w:start w:val="1"/>
      <w:numFmt w:val="upperLetter"/>
      <w:pStyle w:val="2"/>
      <w:lvlText w:val="%2."/>
      <w:lvlJc w:val="left"/>
      <w:pPr>
        <w:ind w:left="142" w:hanging="170"/>
      </w:pPr>
    </w:lvl>
    <w:lvl w:ilvl="2">
      <w:start w:val="1"/>
      <w:numFmt w:val="decimal"/>
      <w:pStyle w:val="3"/>
      <w:lvlText w:val="%3."/>
      <w:lvlJc w:val="left"/>
      <w:pPr>
        <w:ind w:left="142" w:hanging="170"/>
      </w:pPr>
    </w:lvl>
    <w:lvl w:ilvl="3">
      <w:start w:val="1"/>
      <w:numFmt w:val="lowerLetter"/>
      <w:pStyle w:val="4"/>
      <w:lvlText w:val="%4)"/>
      <w:lvlJc w:val="left"/>
      <w:pPr>
        <w:ind w:left="1218" w:hanging="708"/>
      </w:pPr>
    </w:lvl>
    <w:lvl w:ilvl="4">
      <w:start w:val="1"/>
      <w:numFmt w:val="decimal"/>
      <w:pStyle w:val="5"/>
      <w:lvlText w:val="(%5)"/>
      <w:lvlJc w:val="left"/>
      <w:pPr>
        <w:ind w:left="1926" w:hanging="708"/>
      </w:pPr>
    </w:lvl>
    <w:lvl w:ilvl="5">
      <w:start w:val="1"/>
      <w:numFmt w:val="lowerLetter"/>
      <w:pStyle w:val="6"/>
      <w:lvlText w:val="(%6)"/>
      <w:lvlJc w:val="left"/>
      <w:pPr>
        <w:ind w:left="2634" w:hanging="708"/>
      </w:pPr>
    </w:lvl>
    <w:lvl w:ilvl="6">
      <w:start w:val="1"/>
      <w:numFmt w:val="lowerRoman"/>
      <w:pStyle w:val="7"/>
      <w:lvlText w:val="(%7)"/>
      <w:lvlJc w:val="left"/>
      <w:pPr>
        <w:ind w:left="3342" w:hanging="708"/>
      </w:pPr>
    </w:lvl>
    <w:lvl w:ilvl="7">
      <w:start w:val="1"/>
      <w:numFmt w:val="lowerLetter"/>
      <w:pStyle w:val="8"/>
      <w:lvlText w:val="(%8)"/>
      <w:lvlJc w:val="left"/>
      <w:pPr>
        <w:ind w:left="4050" w:hanging="708"/>
      </w:pPr>
    </w:lvl>
    <w:lvl w:ilvl="8">
      <w:start w:val="1"/>
      <w:numFmt w:val="lowerRoman"/>
      <w:pStyle w:val="9"/>
      <w:lvlText w:val="(%9)"/>
      <w:lvlJc w:val="left"/>
      <w:pPr>
        <w:ind w:left="4758" w:hanging="708"/>
      </w:pPr>
    </w:lvl>
  </w:abstractNum>
  <w:num w:numId="1">
    <w:abstractNumId w:val="8"/>
  </w:num>
  <w:num w:numId="2">
    <w:abstractNumId w:val="6"/>
  </w:num>
  <w:num w:numId="3">
    <w:abstractNumId w:val="4"/>
  </w:num>
  <w:num w:numId="4">
    <w:abstractNumId w:val="2"/>
  </w:num>
  <w:num w:numId="5">
    <w:abstractNumId w:val="3"/>
  </w:num>
  <w:num w:numId="6">
    <w:abstractNumId w:val="1"/>
  </w:num>
  <w:num w:numId="7">
    <w:abstractNumId w:val="5"/>
  </w:num>
  <w:num w:numId="8">
    <w:abstractNumId w:val="0"/>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0B83"/>
    <w:rsid w:val="000A0B83"/>
    <w:rsid w:val="000F6222"/>
    <w:rsid w:val="0025743A"/>
    <w:rsid w:val="002C4BFA"/>
    <w:rsid w:val="00343DF7"/>
    <w:rsid w:val="00347EC6"/>
    <w:rsid w:val="003E00A4"/>
    <w:rsid w:val="003E59B3"/>
    <w:rsid w:val="004366D7"/>
    <w:rsid w:val="00443D41"/>
    <w:rsid w:val="0045763F"/>
    <w:rsid w:val="004712AF"/>
    <w:rsid w:val="00537403"/>
    <w:rsid w:val="00542304"/>
    <w:rsid w:val="005747FE"/>
    <w:rsid w:val="005D04F5"/>
    <w:rsid w:val="005D29E9"/>
    <w:rsid w:val="005F0B71"/>
    <w:rsid w:val="0070640B"/>
    <w:rsid w:val="007137B6"/>
    <w:rsid w:val="00790048"/>
    <w:rsid w:val="008D4E9F"/>
    <w:rsid w:val="009411FA"/>
    <w:rsid w:val="00A329E5"/>
    <w:rsid w:val="00B37594"/>
    <w:rsid w:val="00B8528A"/>
    <w:rsid w:val="00C574AC"/>
    <w:rsid w:val="00C61464"/>
    <w:rsid w:val="00C83D54"/>
    <w:rsid w:val="00DB3784"/>
    <w:rsid w:val="00DE2EAD"/>
    <w:rsid w:val="00E11020"/>
    <w:rsid w:val="00E61021"/>
    <w:rsid w:val="00EB1602"/>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008C0C8"/>
  <w15:docId w15:val="{1526C5FE-B5E6-42CF-BF82-5F10381622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sz w:val="24"/>
      <w:szCs w:val="24"/>
      <w:lang w:eastAsia="en-US"/>
    </w:rPr>
  </w:style>
  <w:style w:type="paragraph" w:styleId="1">
    <w:name w:val="heading 1"/>
    <w:basedOn w:val="a"/>
    <w:next w:val="a"/>
    <w:uiPriority w:val="9"/>
    <w:qFormat/>
    <w:pPr>
      <w:keepNext/>
      <w:numPr>
        <w:numId w:val="1"/>
      </w:numPr>
      <w:tabs>
        <w:tab w:val="left" w:pos="198"/>
      </w:tabs>
      <w:spacing w:before="240" w:after="60"/>
      <w:jc w:val="center"/>
      <w:outlineLvl w:val="0"/>
    </w:pPr>
    <w:rPr>
      <w:rFonts w:ascii="Arial" w:hAnsi="Arial"/>
      <w:kern w:val="28"/>
      <w:szCs w:val="20"/>
    </w:rPr>
  </w:style>
  <w:style w:type="paragraph" w:styleId="2">
    <w:name w:val="heading 2"/>
    <w:basedOn w:val="a"/>
    <w:next w:val="a"/>
    <w:uiPriority w:val="9"/>
    <w:semiHidden/>
    <w:unhideWhenUsed/>
    <w:qFormat/>
    <w:pPr>
      <w:keepNext/>
      <w:numPr>
        <w:ilvl w:val="1"/>
        <w:numId w:val="1"/>
      </w:numPr>
      <w:tabs>
        <w:tab w:val="left" w:pos="198"/>
      </w:tabs>
      <w:spacing w:before="120" w:after="60"/>
      <w:jc w:val="both"/>
      <w:outlineLvl w:val="1"/>
    </w:pPr>
    <w:rPr>
      <w:rFonts w:ascii="Arial" w:hAnsi="Arial"/>
      <w:i/>
      <w:sz w:val="22"/>
      <w:szCs w:val="20"/>
    </w:rPr>
  </w:style>
  <w:style w:type="paragraph" w:styleId="3">
    <w:name w:val="heading 3"/>
    <w:basedOn w:val="a"/>
    <w:next w:val="a"/>
    <w:uiPriority w:val="9"/>
    <w:semiHidden/>
    <w:unhideWhenUsed/>
    <w:qFormat/>
    <w:pPr>
      <w:keepNext/>
      <w:numPr>
        <w:ilvl w:val="2"/>
        <w:numId w:val="1"/>
      </w:numPr>
      <w:tabs>
        <w:tab w:val="left" w:pos="198"/>
      </w:tabs>
      <w:spacing w:before="120" w:after="60"/>
      <w:ind w:firstLine="170"/>
      <w:jc w:val="center"/>
      <w:outlineLvl w:val="2"/>
    </w:pPr>
    <w:rPr>
      <w:rFonts w:ascii="Arial" w:hAnsi="Arial"/>
      <w:sz w:val="20"/>
      <w:szCs w:val="20"/>
    </w:rPr>
  </w:style>
  <w:style w:type="paragraph" w:styleId="4">
    <w:name w:val="heading 4"/>
    <w:basedOn w:val="a"/>
    <w:next w:val="a"/>
    <w:uiPriority w:val="9"/>
    <w:semiHidden/>
    <w:unhideWhenUsed/>
    <w:qFormat/>
    <w:pPr>
      <w:keepNext/>
      <w:numPr>
        <w:ilvl w:val="3"/>
        <w:numId w:val="1"/>
      </w:numPr>
      <w:tabs>
        <w:tab w:val="left" w:pos="198"/>
      </w:tabs>
      <w:spacing w:before="240" w:after="60"/>
      <w:jc w:val="both"/>
      <w:outlineLvl w:val="3"/>
    </w:pPr>
    <w:rPr>
      <w:rFonts w:ascii="Arial" w:hAnsi="Arial"/>
      <w:b/>
      <w:szCs w:val="20"/>
      <w:lang w:val="en-GB"/>
    </w:rPr>
  </w:style>
  <w:style w:type="paragraph" w:styleId="5">
    <w:name w:val="heading 5"/>
    <w:basedOn w:val="a"/>
    <w:next w:val="a"/>
    <w:uiPriority w:val="9"/>
    <w:semiHidden/>
    <w:unhideWhenUsed/>
    <w:qFormat/>
    <w:pPr>
      <w:numPr>
        <w:ilvl w:val="4"/>
        <w:numId w:val="1"/>
      </w:numPr>
      <w:tabs>
        <w:tab w:val="left" w:pos="198"/>
      </w:tabs>
      <w:spacing w:before="240" w:after="60"/>
      <w:jc w:val="both"/>
      <w:outlineLvl w:val="4"/>
    </w:pPr>
    <w:rPr>
      <w:rFonts w:ascii="Arial" w:hAnsi="Arial"/>
      <w:sz w:val="22"/>
      <w:szCs w:val="20"/>
      <w:lang w:val="en-GB"/>
    </w:rPr>
  </w:style>
  <w:style w:type="paragraph" w:styleId="6">
    <w:name w:val="heading 6"/>
    <w:basedOn w:val="a"/>
    <w:next w:val="a"/>
    <w:uiPriority w:val="9"/>
    <w:semiHidden/>
    <w:unhideWhenUsed/>
    <w:qFormat/>
    <w:pPr>
      <w:numPr>
        <w:ilvl w:val="5"/>
        <w:numId w:val="1"/>
      </w:numPr>
      <w:tabs>
        <w:tab w:val="left" w:pos="198"/>
      </w:tabs>
      <w:spacing w:before="240" w:after="60"/>
      <w:jc w:val="both"/>
      <w:outlineLvl w:val="5"/>
    </w:pPr>
    <w:rPr>
      <w:i/>
      <w:sz w:val="22"/>
      <w:szCs w:val="20"/>
      <w:lang w:val="en-GB"/>
    </w:rPr>
  </w:style>
  <w:style w:type="paragraph" w:styleId="7">
    <w:name w:val="heading 7"/>
    <w:basedOn w:val="a"/>
    <w:next w:val="a"/>
    <w:qFormat/>
    <w:pPr>
      <w:numPr>
        <w:ilvl w:val="6"/>
        <w:numId w:val="1"/>
      </w:numPr>
      <w:tabs>
        <w:tab w:val="left" w:pos="198"/>
      </w:tabs>
      <w:spacing w:before="240" w:after="60"/>
      <w:jc w:val="both"/>
      <w:outlineLvl w:val="6"/>
    </w:pPr>
    <w:rPr>
      <w:rFonts w:ascii="Arial" w:hAnsi="Arial"/>
      <w:sz w:val="20"/>
      <w:szCs w:val="20"/>
      <w:lang w:val="en-GB"/>
    </w:rPr>
  </w:style>
  <w:style w:type="paragraph" w:styleId="8">
    <w:name w:val="heading 8"/>
    <w:basedOn w:val="a"/>
    <w:next w:val="a"/>
    <w:qFormat/>
    <w:pPr>
      <w:numPr>
        <w:ilvl w:val="7"/>
        <w:numId w:val="1"/>
      </w:numPr>
      <w:tabs>
        <w:tab w:val="left" w:pos="198"/>
      </w:tabs>
      <w:spacing w:before="240" w:after="60"/>
      <w:jc w:val="both"/>
      <w:outlineLvl w:val="7"/>
    </w:pPr>
    <w:rPr>
      <w:rFonts w:ascii="Arial" w:hAnsi="Arial"/>
      <w:i/>
      <w:sz w:val="20"/>
      <w:szCs w:val="20"/>
      <w:lang w:val="en-GB"/>
    </w:rPr>
  </w:style>
  <w:style w:type="paragraph" w:styleId="9">
    <w:name w:val="heading 9"/>
    <w:basedOn w:val="a"/>
    <w:next w:val="a"/>
    <w:qFormat/>
    <w:pPr>
      <w:numPr>
        <w:ilvl w:val="8"/>
        <w:numId w:val="1"/>
      </w:numPr>
      <w:tabs>
        <w:tab w:val="left" w:pos="198"/>
      </w:tabs>
      <w:spacing w:before="240" w:after="60"/>
      <w:jc w:val="both"/>
      <w:outlineLvl w:val="8"/>
    </w:pPr>
    <w:rPr>
      <w:rFonts w:ascii="Arial" w:hAnsi="Arial"/>
      <w:b/>
      <w:i/>
      <w:sz w:val="18"/>
      <w:szCs w:val="20"/>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spacing w:after="120"/>
    </w:pPr>
  </w:style>
  <w:style w:type="paragraph" w:styleId="20">
    <w:name w:val="Body Text 2"/>
    <w:basedOn w:val="a"/>
    <w:qFormat/>
    <w:pPr>
      <w:spacing w:after="120" w:line="480" w:lineRule="auto"/>
    </w:pPr>
  </w:style>
  <w:style w:type="paragraph" w:styleId="a4">
    <w:name w:val="Body Text Indent"/>
    <w:basedOn w:val="a"/>
    <w:qFormat/>
    <w:pPr>
      <w:tabs>
        <w:tab w:val="left" w:pos="198"/>
      </w:tabs>
      <w:autoSpaceDE w:val="0"/>
      <w:autoSpaceDN w:val="0"/>
      <w:jc w:val="both"/>
    </w:pPr>
    <w:rPr>
      <w:sz w:val="20"/>
      <w:szCs w:val="20"/>
      <w:lang w:val="en-US" w:eastAsia="ru-RU"/>
    </w:rPr>
  </w:style>
  <w:style w:type="paragraph" w:styleId="21">
    <w:name w:val="Body Text Indent 2"/>
    <w:basedOn w:val="a"/>
    <w:qFormat/>
    <w:pPr>
      <w:tabs>
        <w:tab w:val="left" w:pos="198"/>
      </w:tabs>
      <w:spacing w:after="120" w:line="480" w:lineRule="auto"/>
      <w:ind w:left="283" w:firstLine="170"/>
      <w:jc w:val="both"/>
    </w:pPr>
    <w:rPr>
      <w:sz w:val="20"/>
      <w:szCs w:val="20"/>
      <w:lang w:val="en-GB"/>
    </w:rPr>
  </w:style>
  <w:style w:type="paragraph" w:styleId="30">
    <w:name w:val="Body Text Indent 3"/>
    <w:basedOn w:val="a"/>
    <w:qFormat/>
    <w:pPr>
      <w:spacing w:after="120"/>
      <w:ind w:left="283"/>
    </w:pPr>
    <w:rPr>
      <w:sz w:val="16"/>
      <w:szCs w:val="16"/>
    </w:rPr>
  </w:style>
  <w:style w:type="paragraph" w:styleId="a5">
    <w:name w:val="footer"/>
    <w:basedOn w:val="a"/>
    <w:link w:val="a6"/>
    <w:uiPriority w:val="99"/>
    <w:qFormat/>
    <w:pPr>
      <w:tabs>
        <w:tab w:val="center" w:pos="4153"/>
        <w:tab w:val="right" w:pos="8306"/>
      </w:tabs>
      <w:overflowPunct w:val="0"/>
      <w:autoSpaceDE w:val="0"/>
      <w:autoSpaceDN w:val="0"/>
      <w:adjustRightInd w:val="0"/>
      <w:textAlignment w:val="baseline"/>
    </w:pPr>
    <w:rPr>
      <w:sz w:val="20"/>
      <w:szCs w:val="20"/>
      <w:lang w:val="ru-RU" w:eastAsia="uk-UA"/>
    </w:rPr>
  </w:style>
  <w:style w:type="paragraph" w:styleId="a7">
    <w:name w:val="footnote text"/>
    <w:basedOn w:val="a"/>
    <w:qFormat/>
    <w:pPr>
      <w:tabs>
        <w:tab w:val="left" w:pos="198"/>
      </w:tabs>
      <w:ind w:firstLine="198"/>
      <w:jc w:val="both"/>
    </w:pPr>
    <w:rPr>
      <w:sz w:val="16"/>
      <w:szCs w:val="20"/>
    </w:rPr>
  </w:style>
  <w:style w:type="paragraph" w:styleId="a8">
    <w:name w:val="header"/>
    <w:basedOn w:val="a"/>
    <w:qFormat/>
    <w:pPr>
      <w:tabs>
        <w:tab w:val="center" w:pos="4986"/>
        <w:tab w:val="right" w:pos="9973"/>
      </w:tabs>
    </w:pPr>
  </w:style>
  <w:style w:type="character" w:styleId="a9">
    <w:name w:val="Hyperlink"/>
    <w:qFormat/>
    <w:rPr>
      <w:color w:val="0000FF"/>
      <w:u w:val="single"/>
    </w:rPr>
  </w:style>
  <w:style w:type="paragraph" w:styleId="aa">
    <w:name w:val="Normal (Web)"/>
    <w:basedOn w:val="a"/>
    <w:uiPriority w:val="99"/>
    <w:qFormat/>
    <w:pPr>
      <w:spacing w:before="100" w:beforeAutospacing="1" w:after="100" w:afterAutospacing="1"/>
    </w:pPr>
    <w:rPr>
      <w:lang w:val="en-US"/>
    </w:rPr>
  </w:style>
  <w:style w:type="character" w:styleId="ab">
    <w:name w:val="page number"/>
    <w:basedOn w:val="a0"/>
    <w:qFormat/>
  </w:style>
  <w:style w:type="character" w:styleId="ac">
    <w:name w:val="Strong"/>
    <w:uiPriority w:val="22"/>
    <w:qFormat/>
    <w:rPr>
      <w:b/>
      <w:bCs/>
    </w:rPr>
  </w:style>
  <w:style w:type="table" w:styleId="ad">
    <w:name w:val="Table Grid"/>
    <w:basedOn w:val="a1"/>
    <w:qFormat/>
    <w:pPr>
      <w:tabs>
        <w:tab w:val="left" w:pos="198"/>
      </w:tabs>
      <w:ind w:firstLine="17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
    <w:name w:val="Author"/>
    <w:basedOn w:val="a"/>
    <w:qFormat/>
    <w:pPr>
      <w:tabs>
        <w:tab w:val="left" w:pos="198"/>
      </w:tabs>
      <w:spacing w:after="120"/>
      <w:jc w:val="center"/>
    </w:pPr>
    <w:rPr>
      <w:szCs w:val="20"/>
    </w:rPr>
  </w:style>
  <w:style w:type="paragraph" w:customStyle="1" w:styleId="MainTitle">
    <w:name w:val="Main Title"/>
    <w:basedOn w:val="a"/>
    <w:qFormat/>
    <w:pPr>
      <w:tabs>
        <w:tab w:val="left" w:pos="198"/>
      </w:tabs>
      <w:spacing w:after="120"/>
      <w:jc w:val="center"/>
    </w:pPr>
    <w:rPr>
      <w:b/>
      <w:sz w:val="32"/>
      <w:szCs w:val="20"/>
    </w:rPr>
  </w:style>
  <w:style w:type="paragraph" w:customStyle="1" w:styleId="Affilation">
    <w:name w:val="Affilation"/>
    <w:basedOn w:val="Author"/>
    <w:qFormat/>
    <w:rPr>
      <w:sz w:val="18"/>
    </w:rPr>
  </w:style>
  <w:style w:type="paragraph" w:customStyle="1" w:styleId="Abstract">
    <w:name w:val="Abstract"/>
    <w:basedOn w:val="a"/>
    <w:qFormat/>
    <w:pPr>
      <w:tabs>
        <w:tab w:val="left" w:pos="-1276"/>
        <w:tab w:val="left" w:pos="198"/>
      </w:tabs>
      <w:ind w:firstLine="142"/>
      <w:jc w:val="both"/>
    </w:pPr>
    <w:rPr>
      <w:b/>
      <w:i/>
      <w:sz w:val="18"/>
      <w:szCs w:val="20"/>
    </w:rPr>
  </w:style>
  <w:style w:type="paragraph" w:customStyle="1" w:styleId="IndexTerms">
    <w:name w:val="Index Terms"/>
    <w:basedOn w:val="a"/>
    <w:link w:val="IndexTerms0"/>
    <w:qFormat/>
    <w:pPr>
      <w:tabs>
        <w:tab w:val="left" w:pos="198"/>
      </w:tabs>
      <w:spacing w:after="120"/>
      <w:ind w:firstLine="142"/>
      <w:jc w:val="both"/>
    </w:pPr>
    <w:rPr>
      <w:sz w:val="18"/>
      <w:szCs w:val="20"/>
    </w:rPr>
  </w:style>
  <w:style w:type="paragraph" w:customStyle="1" w:styleId="Figure">
    <w:name w:val="Figure"/>
    <w:basedOn w:val="a"/>
    <w:qFormat/>
    <w:pPr>
      <w:keepNext/>
      <w:spacing w:before="120" w:line="264" w:lineRule="auto"/>
      <w:jc w:val="center"/>
    </w:pPr>
    <w:rPr>
      <w:b/>
      <w:szCs w:val="20"/>
    </w:rPr>
  </w:style>
  <w:style w:type="paragraph" w:customStyle="1" w:styleId="ae">
    <w:name w:val="подпись к картинке"/>
    <w:basedOn w:val="a"/>
    <w:link w:val="af"/>
    <w:qFormat/>
    <w:pPr>
      <w:jc w:val="center"/>
    </w:pPr>
    <w:rPr>
      <w:sz w:val="18"/>
      <w:szCs w:val="18"/>
      <w:lang w:val="ru-RU" w:eastAsia="uk-UA"/>
    </w:rPr>
  </w:style>
  <w:style w:type="character" w:customStyle="1" w:styleId="af">
    <w:name w:val="подпись к картинке Знак"/>
    <w:link w:val="ae"/>
    <w:qFormat/>
    <w:rPr>
      <w:sz w:val="18"/>
      <w:szCs w:val="18"/>
      <w:lang w:val="ru-RU" w:eastAsia="uk-UA" w:bidi="ar-SA"/>
    </w:rPr>
  </w:style>
  <w:style w:type="paragraph" w:customStyle="1" w:styleId="list10pt">
    <w:name w:val="Стиль list + 10 pt"/>
    <w:basedOn w:val="a"/>
    <w:qFormat/>
    <w:pPr>
      <w:numPr>
        <w:numId w:val="2"/>
      </w:numPr>
      <w:jc w:val="both"/>
    </w:pPr>
    <w:rPr>
      <w:sz w:val="20"/>
      <w:szCs w:val="28"/>
      <w:lang w:val="ru-RU" w:eastAsia="uk-UA"/>
    </w:rPr>
  </w:style>
  <w:style w:type="paragraph" w:customStyle="1" w:styleId="list10pt1">
    <w:name w:val="Стиль list + 10 pt1"/>
    <w:basedOn w:val="a"/>
    <w:link w:val="list10pt10"/>
    <w:qFormat/>
    <w:pPr>
      <w:numPr>
        <w:numId w:val="3"/>
      </w:numPr>
      <w:jc w:val="both"/>
    </w:pPr>
    <w:rPr>
      <w:sz w:val="20"/>
      <w:szCs w:val="28"/>
      <w:lang w:val="ru-RU" w:eastAsia="uk-UA"/>
    </w:rPr>
  </w:style>
  <w:style w:type="character" w:customStyle="1" w:styleId="list10pt10">
    <w:name w:val="Стиль list + 10 pt1 Знак"/>
    <w:link w:val="list10pt1"/>
    <w:qFormat/>
    <w:rPr>
      <w:szCs w:val="28"/>
      <w:lang w:val="ru-RU" w:eastAsia="uk-UA" w:bidi="ar-SA"/>
    </w:rPr>
  </w:style>
  <w:style w:type="paragraph" w:customStyle="1" w:styleId="article">
    <w:name w:val="article"/>
    <w:basedOn w:val="a"/>
    <w:qFormat/>
    <w:pPr>
      <w:spacing w:line="288" w:lineRule="auto"/>
      <w:ind w:firstLine="720"/>
      <w:jc w:val="both"/>
    </w:pPr>
    <w:rPr>
      <w:sz w:val="20"/>
      <w:szCs w:val="20"/>
      <w:lang w:val="ru-RU"/>
    </w:rPr>
  </w:style>
  <w:style w:type="paragraph" w:customStyle="1" w:styleId="CSIT-List">
    <w:name w:val="CSIT-List"/>
    <w:basedOn w:val="a"/>
    <w:qFormat/>
    <w:pPr>
      <w:numPr>
        <w:numId w:val="4"/>
      </w:numPr>
      <w:tabs>
        <w:tab w:val="clear" w:pos="720"/>
      </w:tabs>
      <w:spacing w:after="120"/>
      <w:ind w:left="357" w:hanging="357"/>
      <w:jc w:val="both"/>
    </w:pPr>
    <w:rPr>
      <w:sz w:val="20"/>
      <w:szCs w:val="20"/>
      <w:lang w:val="en-GB" w:eastAsia="ru-RU"/>
    </w:rPr>
  </w:style>
  <w:style w:type="paragraph" w:customStyle="1" w:styleId="CSIT-Ref">
    <w:name w:val="CSIT-Ref"/>
    <w:basedOn w:val="CSIT-List"/>
    <w:qFormat/>
    <w:pPr>
      <w:tabs>
        <w:tab w:val="left" w:pos="720"/>
      </w:tabs>
      <w:ind w:left="720" w:hanging="360"/>
    </w:pPr>
  </w:style>
  <w:style w:type="paragraph" w:customStyle="1" w:styleId="Equation">
    <w:name w:val="Equation"/>
    <w:basedOn w:val="a"/>
    <w:qFormat/>
    <w:pPr>
      <w:tabs>
        <w:tab w:val="left" w:pos="198"/>
        <w:tab w:val="center" w:pos="2410"/>
        <w:tab w:val="right" w:pos="4962"/>
      </w:tabs>
      <w:ind w:firstLine="170"/>
      <w:jc w:val="both"/>
    </w:pPr>
    <w:rPr>
      <w:sz w:val="20"/>
      <w:szCs w:val="20"/>
    </w:rPr>
  </w:style>
  <w:style w:type="paragraph" w:customStyle="1" w:styleId="ETytle">
    <w:name w:val="E. Tytle"/>
    <w:basedOn w:val="a"/>
    <w:qFormat/>
    <w:pPr>
      <w:tabs>
        <w:tab w:val="left" w:pos="198"/>
      </w:tabs>
      <w:spacing w:after="120"/>
      <w:ind w:firstLine="170"/>
      <w:jc w:val="center"/>
    </w:pPr>
    <w:rPr>
      <w:b/>
      <w:smallCaps/>
      <w:szCs w:val="20"/>
      <w:lang w:val="en-US"/>
    </w:rPr>
  </w:style>
  <w:style w:type="paragraph" w:customStyle="1" w:styleId="Text">
    <w:name w:val="Text"/>
    <w:basedOn w:val="a"/>
    <w:pPr>
      <w:widowControl w:val="0"/>
      <w:overflowPunct w:val="0"/>
      <w:autoSpaceDE w:val="0"/>
      <w:autoSpaceDN w:val="0"/>
      <w:adjustRightInd w:val="0"/>
      <w:spacing w:line="360" w:lineRule="auto"/>
      <w:ind w:firstLine="709"/>
      <w:jc w:val="both"/>
      <w:textAlignment w:val="baseline"/>
    </w:pPr>
    <w:rPr>
      <w:rFonts w:ascii="UkrainianJournal" w:hAnsi="UkrainianJournal"/>
      <w:sz w:val="28"/>
      <w:szCs w:val="20"/>
      <w:lang w:val="ru-RU" w:eastAsia="uk-UA"/>
    </w:rPr>
  </w:style>
  <w:style w:type="paragraph" w:customStyle="1" w:styleId="11">
    <w:name w:val="11"/>
    <w:basedOn w:val="a"/>
    <w:qFormat/>
    <w:pPr>
      <w:tabs>
        <w:tab w:val="left" w:pos="198"/>
      </w:tabs>
      <w:ind w:left="284" w:hanging="284"/>
      <w:jc w:val="both"/>
    </w:pPr>
    <w:rPr>
      <w:sz w:val="20"/>
      <w:szCs w:val="20"/>
      <w:lang w:val="en-GB"/>
    </w:rPr>
  </w:style>
  <w:style w:type="paragraph" w:customStyle="1" w:styleId="10">
    <w:name w:val="Стиль1"/>
    <w:basedOn w:val="a"/>
    <w:qFormat/>
    <w:pPr>
      <w:tabs>
        <w:tab w:val="left" w:pos="198"/>
      </w:tabs>
      <w:spacing w:before="60" w:after="60"/>
      <w:ind w:firstLine="170"/>
      <w:jc w:val="center"/>
    </w:pPr>
    <w:rPr>
      <w:smallCaps/>
      <w:sz w:val="18"/>
      <w:szCs w:val="20"/>
    </w:rPr>
  </w:style>
  <w:style w:type="paragraph" w:customStyle="1" w:styleId="12">
    <w:name w:val="Список литературы1"/>
    <w:basedOn w:val="a"/>
    <w:qFormat/>
    <w:pPr>
      <w:tabs>
        <w:tab w:val="left" w:pos="340"/>
      </w:tabs>
      <w:ind w:left="340" w:hanging="227"/>
      <w:jc w:val="both"/>
    </w:pPr>
    <w:rPr>
      <w:sz w:val="16"/>
      <w:szCs w:val="20"/>
      <w:lang w:eastAsia="ru-RU"/>
    </w:rPr>
  </w:style>
  <w:style w:type="character" w:customStyle="1" w:styleId="IndexTerms0">
    <w:name w:val="Index Terms Знак"/>
    <w:link w:val="IndexTerms"/>
    <w:qFormat/>
    <w:rPr>
      <w:sz w:val="18"/>
      <w:lang w:val="uk-UA" w:eastAsia="en-US" w:bidi="ar-SA"/>
    </w:rPr>
  </w:style>
  <w:style w:type="character" w:customStyle="1" w:styleId="apple-style-span">
    <w:name w:val="apple-style-span"/>
    <w:basedOn w:val="a0"/>
    <w:qFormat/>
  </w:style>
  <w:style w:type="character" w:customStyle="1" w:styleId="apple-converted-space">
    <w:name w:val="apple-converted-space"/>
    <w:basedOn w:val="a0"/>
    <w:qFormat/>
  </w:style>
  <w:style w:type="paragraph" w:customStyle="1" w:styleId="Literature">
    <w:name w:val="Literature"/>
    <w:basedOn w:val="a"/>
    <w:qFormat/>
    <w:pPr>
      <w:numPr>
        <w:numId w:val="5"/>
      </w:numPr>
      <w:spacing w:line="360" w:lineRule="auto"/>
      <w:jc w:val="both"/>
    </w:pPr>
    <w:rPr>
      <w:sz w:val="28"/>
      <w:szCs w:val="20"/>
      <w:lang w:eastAsia="uk-UA"/>
    </w:rPr>
  </w:style>
  <w:style w:type="character" w:customStyle="1" w:styleId="13">
    <w:name w:val="Неразрешенное упоминание1"/>
    <w:uiPriority w:val="99"/>
    <w:rPr>
      <w:color w:val="605E5C"/>
      <w:shd w:val="clear" w:color="auto" w:fill="E1DFDD"/>
    </w:rPr>
  </w:style>
  <w:style w:type="character" w:customStyle="1" w:styleId="a6">
    <w:name w:val="Нижний колонтитул Знак"/>
    <w:link w:val="a5"/>
    <w:uiPriority w:val="99"/>
    <w:rPr>
      <w:lang w:eastAsia="uk-UA"/>
    </w:rPr>
  </w:style>
  <w:style w:type="paragraph" w:styleId="af0">
    <w:name w:val="List Paragraph"/>
    <w:basedOn w:val="a"/>
    <w:uiPriority w:val="34"/>
    <w:qFormat/>
    <w:pPr>
      <w:ind w:left="720"/>
      <w:contextualSpacing/>
    </w:pPr>
    <w:rPr>
      <w:lang w:eastAsia="uk-UA"/>
    </w:rPr>
  </w:style>
  <w:style w:type="character" w:styleId="af1">
    <w:name w:val="Unresolved Mention"/>
    <w:basedOn w:val="a0"/>
    <w:uiPriority w:val="99"/>
    <w:semiHidden/>
    <w:unhideWhenUsed/>
    <w:rsid w:val="005747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6578052">
      <w:bodyDiv w:val="1"/>
      <w:marLeft w:val="0"/>
      <w:marRight w:val="0"/>
      <w:marTop w:val="0"/>
      <w:marBottom w:val="0"/>
      <w:divBdr>
        <w:top w:val="none" w:sz="0" w:space="0" w:color="auto"/>
        <w:left w:val="none" w:sz="0" w:space="0" w:color="auto"/>
        <w:bottom w:val="none" w:sz="0" w:space="0" w:color="auto"/>
        <w:right w:val="none" w:sz="0" w:space="0" w:color="auto"/>
      </w:divBdr>
    </w:div>
    <w:div w:id="559050630">
      <w:bodyDiv w:val="1"/>
      <w:marLeft w:val="0"/>
      <w:marRight w:val="0"/>
      <w:marTop w:val="0"/>
      <w:marBottom w:val="0"/>
      <w:divBdr>
        <w:top w:val="none" w:sz="0" w:space="0" w:color="auto"/>
        <w:left w:val="none" w:sz="0" w:space="0" w:color="auto"/>
        <w:bottom w:val="none" w:sz="0" w:space="0" w:color="auto"/>
        <w:right w:val="none" w:sz="0" w:space="0" w:color="auto"/>
      </w:divBdr>
    </w:div>
    <w:div w:id="680275993">
      <w:bodyDiv w:val="1"/>
      <w:marLeft w:val="0"/>
      <w:marRight w:val="0"/>
      <w:marTop w:val="0"/>
      <w:marBottom w:val="0"/>
      <w:divBdr>
        <w:top w:val="none" w:sz="0" w:space="0" w:color="auto"/>
        <w:left w:val="none" w:sz="0" w:space="0" w:color="auto"/>
        <w:bottom w:val="none" w:sz="0" w:space="0" w:color="auto"/>
        <w:right w:val="none" w:sz="0" w:space="0" w:color="auto"/>
      </w:divBdr>
    </w:div>
    <w:div w:id="1415929294">
      <w:bodyDiv w:val="1"/>
      <w:marLeft w:val="0"/>
      <w:marRight w:val="0"/>
      <w:marTop w:val="0"/>
      <w:marBottom w:val="0"/>
      <w:divBdr>
        <w:top w:val="none" w:sz="0" w:space="0" w:color="auto"/>
        <w:left w:val="none" w:sz="0" w:space="0" w:color="auto"/>
        <w:bottom w:val="none" w:sz="0" w:space="0" w:color="auto"/>
        <w:right w:val="none" w:sz="0" w:space="0" w:color="auto"/>
      </w:divBdr>
      <w:divsChild>
        <w:div w:id="1734233124">
          <w:marLeft w:val="720"/>
          <w:marRight w:val="0"/>
          <w:marTop w:val="96"/>
          <w:marBottom w:val="0"/>
          <w:divBdr>
            <w:top w:val="none" w:sz="0" w:space="0" w:color="auto"/>
            <w:left w:val="none" w:sz="0" w:space="0" w:color="auto"/>
            <w:bottom w:val="none" w:sz="0" w:space="0" w:color="auto"/>
            <w:right w:val="none" w:sz="0" w:space="0" w:color="auto"/>
          </w:divBdr>
        </w:div>
        <w:div w:id="871503595">
          <w:marLeft w:val="720"/>
          <w:marRight w:val="0"/>
          <w:marTop w:val="96"/>
          <w:marBottom w:val="0"/>
          <w:divBdr>
            <w:top w:val="none" w:sz="0" w:space="0" w:color="auto"/>
            <w:left w:val="none" w:sz="0" w:space="0" w:color="auto"/>
            <w:bottom w:val="none" w:sz="0" w:space="0" w:color="auto"/>
            <w:right w:val="none" w:sz="0" w:space="0" w:color="auto"/>
          </w:divBdr>
        </w:div>
        <w:div w:id="1076708868">
          <w:marLeft w:val="720"/>
          <w:marRight w:val="0"/>
          <w:marTop w:val="96"/>
          <w:marBottom w:val="0"/>
          <w:divBdr>
            <w:top w:val="none" w:sz="0" w:space="0" w:color="auto"/>
            <w:left w:val="none" w:sz="0" w:space="0" w:color="auto"/>
            <w:bottom w:val="none" w:sz="0" w:space="0" w:color="auto"/>
            <w:right w:val="none" w:sz="0" w:space="0" w:color="auto"/>
          </w:divBdr>
        </w:div>
        <w:div w:id="563680029">
          <w:marLeft w:val="720"/>
          <w:marRight w:val="0"/>
          <w:marTop w:val="96"/>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DFF3E4-6391-4778-8D6F-5C08399E68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5</Pages>
  <Words>2798</Words>
  <Characters>16680</Characters>
  <Application>Microsoft Office Word</Application>
  <DocSecurity>0</DocSecurity>
  <Lines>139</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ss</Company>
  <LinksUpToDate>false</LinksUpToDate>
  <CharactersWithSpaces>19440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Oleksandr Ivashchuk</dc:creator>
  <cp:lastModifiedBy>380979931901</cp:lastModifiedBy>
  <cp:revision>8</cp:revision>
  <cp:lastPrinted>2010-05-30T09:50:00Z</cp:lastPrinted>
  <dcterms:created xsi:type="dcterms:W3CDTF">2025-02-15T16:59:00Z</dcterms:created>
  <dcterms:modified xsi:type="dcterms:W3CDTF">2025-02-16T16:57:00Z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1033-12.2.0.16909</vt:lpwstr>
  </property>
  <property fmtid="{D5CDD505-2E9C-101B-9397-08002B2CF9AE}" pid="3" name="ICV">
    <vt:lpwstr>4cbf8fca1f464751a1cdd396844fc5cc</vt:lpwstr>
  </property>
</Properties>
</file>