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B76559" w14:textId="77777777" w:rsidR="00CE1873" w:rsidRPr="00287EB0" w:rsidRDefault="00CE1873" w:rsidP="00CE1873">
      <w:pPr>
        <w:spacing w:after="120" w:line="276" w:lineRule="auto"/>
        <w:jc w:val="center"/>
        <w:rPr>
          <w:b/>
          <w:bCs/>
          <w:sz w:val="28"/>
          <w:szCs w:val="28"/>
          <w:lang w:val="en-GB"/>
        </w:rPr>
      </w:pPr>
      <w:r w:rsidRPr="00287EB0">
        <w:rPr>
          <w:b/>
          <w:bCs/>
          <w:sz w:val="28"/>
          <w:szCs w:val="28"/>
          <w:lang w:val="en-GB"/>
        </w:rPr>
        <w:t>Synthesis and properties of latex composites filled with PVA hydrogel and keratin</w:t>
      </w:r>
    </w:p>
    <w:p w14:paraId="5952C2F1" w14:textId="77777777" w:rsidR="00CE1873" w:rsidRPr="001E12C0" w:rsidRDefault="00CE1873" w:rsidP="00CE1873">
      <w:pPr>
        <w:spacing w:after="120" w:line="276" w:lineRule="auto"/>
        <w:jc w:val="center"/>
        <w:rPr>
          <w:lang w:val="en-GB"/>
        </w:rPr>
      </w:pPr>
      <w:r w:rsidRPr="001E12C0">
        <w:rPr>
          <w:u w:val="single"/>
          <w:lang w:val="en-GB"/>
        </w:rPr>
        <w:t>Oleksandra Dzeikala</w:t>
      </w:r>
      <w:r w:rsidRPr="001E12C0">
        <w:rPr>
          <w:lang w:val="en-GB"/>
        </w:rPr>
        <w:t xml:space="preserve">, </w:t>
      </w:r>
      <w:r w:rsidRPr="00201CD5">
        <w:rPr>
          <w:lang w:val="en-US"/>
        </w:rPr>
        <w:t>Dr.</w:t>
      </w:r>
      <w:r w:rsidRPr="001E12C0">
        <w:rPr>
          <w:lang w:val="en-GB"/>
        </w:rPr>
        <w:t xml:space="preserve">Mirosława </w:t>
      </w:r>
      <w:proofErr w:type="spellStart"/>
      <w:r w:rsidRPr="001E12C0">
        <w:rPr>
          <w:lang w:val="en-GB"/>
        </w:rPr>
        <w:t>Prochoń</w:t>
      </w:r>
      <w:proofErr w:type="spellEnd"/>
    </w:p>
    <w:p w14:paraId="2ED42504" w14:textId="3B2F0595" w:rsidR="00CE1873" w:rsidRPr="001E12C0" w:rsidRDefault="00CE1873" w:rsidP="00CE1873">
      <w:pPr>
        <w:spacing w:line="276" w:lineRule="auto"/>
        <w:jc w:val="center"/>
        <w:rPr>
          <w:sz w:val="20"/>
          <w:szCs w:val="20"/>
          <w:lang w:val="en-GB"/>
        </w:rPr>
      </w:pPr>
      <w:r w:rsidRPr="001E12C0">
        <w:rPr>
          <w:sz w:val="20"/>
          <w:szCs w:val="20"/>
          <w:lang w:val="en-GB"/>
        </w:rPr>
        <w:t>Lodz University of Technology, Institute of Polymer and Dye Technology, Lodz, Poland</w:t>
      </w:r>
      <w:r w:rsidR="00315272">
        <w:rPr>
          <w:sz w:val="20"/>
        </w:rPr>
        <w:t>,</w:t>
      </w:r>
      <w:r w:rsidRPr="00CE1873">
        <w:rPr>
          <w:sz w:val="20"/>
          <w:lang w:val="en-GB"/>
        </w:rPr>
        <w:br/>
      </w:r>
      <w:r w:rsidR="00315272">
        <w:rPr>
          <w:sz w:val="20"/>
        </w:rPr>
        <w:t>E-</w:t>
      </w:r>
      <w:proofErr w:type="spellStart"/>
      <w:r w:rsidR="00315272">
        <w:rPr>
          <w:sz w:val="20"/>
        </w:rPr>
        <w:t>mail</w:t>
      </w:r>
      <w:proofErr w:type="spellEnd"/>
      <w:r w:rsidR="00315272">
        <w:rPr>
          <w:sz w:val="20"/>
        </w:rPr>
        <w:t xml:space="preserve">: </w:t>
      </w:r>
      <w:r w:rsidRPr="001E12C0">
        <w:rPr>
          <w:sz w:val="20"/>
          <w:szCs w:val="20"/>
          <w:lang w:val="en-GB"/>
        </w:rPr>
        <w:t>oleksandra.dzeikala@dokt.p.lodz.pl</w:t>
      </w:r>
    </w:p>
    <w:p w14:paraId="3D2EA1D7" w14:textId="7806E292" w:rsidR="00FD2540" w:rsidRDefault="00FD2540" w:rsidP="00CE1873">
      <w:pPr>
        <w:pStyle w:val="Affilation"/>
        <w:spacing w:line="276" w:lineRule="auto"/>
        <w:rPr>
          <w:sz w:val="20"/>
        </w:rPr>
      </w:pPr>
    </w:p>
    <w:p w14:paraId="4103964A" w14:textId="24AD511A" w:rsidR="00FD2540" w:rsidRDefault="00315272">
      <w:pPr>
        <w:pStyle w:val="Abstract"/>
        <w:spacing w:after="120" w:line="276" w:lineRule="auto"/>
        <w:ind w:firstLine="0"/>
        <w:rPr>
          <w:sz w:val="22"/>
          <w:szCs w:val="22"/>
        </w:rPr>
      </w:pPr>
      <w:proofErr w:type="spellStart"/>
      <w:r>
        <w:rPr>
          <w:sz w:val="22"/>
          <w:szCs w:val="22"/>
        </w:rPr>
        <w:t>Abstract</w:t>
      </w:r>
      <w:proofErr w:type="spellEnd"/>
      <w:r>
        <w:rPr>
          <w:sz w:val="22"/>
          <w:szCs w:val="22"/>
          <w:lang w:val="en-GB"/>
        </w:rPr>
        <w:t>.</w:t>
      </w:r>
      <w:r>
        <w:rPr>
          <w:sz w:val="22"/>
          <w:szCs w:val="22"/>
        </w:rPr>
        <w:t xml:space="preserve"> </w:t>
      </w:r>
      <w:proofErr w:type="spellStart"/>
      <w:r w:rsidR="00CE1873" w:rsidRPr="00CE1873">
        <w:rPr>
          <w:sz w:val="22"/>
          <w:szCs w:val="22"/>
        </w:rPr>
        <w:t>This</w:t>
      </w:r>
      <w:proofErr w:type="spellEnd"/>
      <w:r w:rsidR="00CE1873" w:rsidRPr="00CE1873">
        <w:rPr>
          <w:sz w:val="22"/>
          <w:szCs w:val="22"/>
        </w:rPr>
        <w:t xml:space="preserve"> </w:t>
      </w:r>
      <w:proofErr w:type="spellStart"/>
      <w:r w:rsidR="00CE1873" w:rsidRPr="00CE1873">
        <w:rPr>
          <w:sz w:val="22"/>
          <w:szCs w:val="22"/>
        </w:rPr>
        <w:t>study</w:t>
      </w:r>
      <w:proofErr w:type="spellEnd"/>
      <w:r w:rsidR="00CE1873" w:rsidRPr="00CE1873">
        <w:rPr>
          <w:sz w:val="22"/>
          <w:szCs w:val="22"/>
        </w:rPr>
        <w:t xml:space="preserve"> </w:t>
      </w:r>
      <w:proofErr w:type="spellStart"/>
      <w:r w:rsidR="00CE1873" w:rsidRPr="00CE1873">
        <w:rPr>
          <w:sz w:val="22"/>
          <w:szCs w:val="22"/>
        </w:rPr>
        <w:t>explores</w:t>
      </w:r>
      <w:proofErr w:type="spellEnd"/>
      <w:r w:rsidR="00CE1873" w:rsidRPr="00CE1873">
        <w:rPr>
          <w:sz w:val="22"/>
          <w:szCs w:val="22"/>
        </w:rPr>
        <w:t xml:space="preserve"> </w:t>
      </w:r>
      <w:proofErr w:type="spellStart"/>
      <w:r w:rsidR="00CE1873" w:rsidRPr="00CE1873">
        <w:rPr>
          <w:sz w:val="22"/>
          <w:szCs w:val="22"/>
        </w:rPr>
        <w:t>the</w:t>
      </w:r>
      <w:proofErr w:type="spellEnd"/>
      <w:r w:rsidR="00CE1873" w:rsidRPr="00CE1873">
        <w:rPr>
          <w:sz w:val="22"/>
          <w:szCs w:val="22"/>
        </w:rPr>
        <w:t xml:space="preserve"> </w:t>
      </w:r>
      <w:proofErr w:type="spellStart"/>
      <w:r w:rsidR="00CE1873" w:rsidRPr="00CE1873">
        <w:rPr>
          <w:sz w:val="22"/>
          <w:szCs w:val="22"/>
        </w:rPr>
        <w:t>synthesis</w:t>
      </w:r>
      <w:proofErr w:type="spellEnd"/>
      <w:r w:rsidR="00CE1873" w:rsidRPr="00CE1873">
        <w:rPr>
          <w:sz w:val="22"/>
          <w:szCs w:val="22"/>
        </w:rPr>
        <w:t xml:space="preserve"> </w:t>
      </w:r>
      <w:proofErr w:type="spellStart"/>
      <w:r w:rsidR="00CE1873" w:rsidRPr="00CE1873">
        <w:rPr>
          <w:sz w:val="22"/>
          <w:szCs w:val="22"/>
        </w:rPr>
        <w:t>and</w:t>
      </w:r>
      <w:proofErr w:type="spellEnd"/>
      <w:r w:rsidR="00CE1873" w:rsidRPr="00CE1873">
        <w:rPr>
          <w:sz w:val="22"/>
          <w:szCs w:val="22"/>
        </w:rPr>
        <w:t xml:space="preserve"> </w:t>
      </w:r>
      <w:proofErr w:type="spellStart"/>
      <w:r w:rsidR="00CE1873" w:rsidRPr="00CE1873">
        <w:rPr>
          <w:sz w:val="22"/>
          <w:szCs w:val="22"/>
        </w:rPr>
        <w:t>characterization</w:t>
      </w:r>
      <w:proofErr w:type="spellEnd"/>
      <w:r w:rsidR="00CE1873" w:rsidRPr="00CE1873">
        <w:rPr>
          <w:sz w:val="22"/>
          <w:szCs w:val="22"/>
        </w:rPr>
        <w:t xml:space="preserve"> </w:t>
      </w:r>
      <w:proofErr w:type="spellStart"/>
      <w:r w:rsidR="00CE1873" w:rsidRPr="00CE1873">
        <w:rPr>
          <w:sz w:val="22"/>
          <w:szCs w:val="22"/>
        </w:rPr>
        <w:t>of</w:t>
      </w:r>
      <w:proofErr w:type="spellEnd"/>
      <w:r w:rsidR="00CE1873" w:rsidRPr="00CE1873">
        <w:rPr>
          <w:sz w:val="22"/>
          <w:szCs w:val="22"/>
        </w:rPr>
        <w:t xml:space="preserve"> </w:t>
      </w:r>
      <w:proofErr w:type="spellStart"/>
      <w:r w:rsidR="00CE1873" w:rsidRPr="00CE1873">
        <w:rPr>
          <w:sz w:val="22"/>
          <w:szCs w:val="22"/>
        </w:rPr>
        <w:t>latex</w:t>
      </w:r>
      <w:proofErr w:type="spellEnd"/>
      <w:r w:rsidR="00CE1873" w:rsidRPr="00CE1873">
        <w:rPr>
          <w:sz w:val="22"/>
          <w:szCs w:val="22"/>
        </w:rPr>
        <w:t xml:space="preserve"> </w:t>
      </w:r>
      <w:proofErr w:type="spellStart"/>
      <w:r w:rsidR="00CE1873" w:rsidRPr="00CE1873">
        <w:rPr>
          <w:sz w:val="22"/>
          <w:szCs w:val="22"/>
        </w:rPr>
        <w:t>composites</w:t>
      </w:r>
      <w:proofErr w:type="spellEnd"/>
      <w:r w:rsidR="00CE1873" w:rsidRPr="00CE1873">
        <w:rPr>
          <w:sz w:val="22"/>
          <w:szCs w:val="22"/>
        </w:rPr>
        <w:t xml:space="preserve"> </w:t>
      </w:r>
      <w:proofErr w:type="spellStart"/>
      <w:r w:rsidR="00CE1873" w:rsidRPr="00CE1873">
        <w:rPr>
          <w:sz w:val="22"/>
          <w:szCs w:val="22"/>
        </w:rPr>
        <w:t>with</w:t>
      </w:r>
      <w:proofErr w:type="spellEnd"/>
      <w:r w:rsidR="00CE1873" w:rsidRPr="00CE1873">
        <w:rPr>
          <w:sz w:val="22"/>
          <w:szCs w:val="22"/>
        </w:rPr>
        <w:t xml:space="preserve"> </w:t>
      </w:r>
      <w:proofErr w:type="spellStart"/>
      <w:r w:rsidR="00CE1873" w:rsidRPr="00CE1873">
        <w:rPr>
          <w:sz w:val="22"/>
          <w:szCs w:val="22"/>
        </w:rPr>
        <w:t>poly</w:t>
      </w:r>
      <w:proofErr w:type="spellEnd"/>
      <w:r w:rsidR="00CE1873" w:rsidRPr="00CE1873">
        <w:rPr>
          <w:sz w:val="22"/>
          <w:szCs w:val="22"/>
        </w:rPr>
        <w:t>(</w:t>
      </w:r>
      <w:proofErr w:type="spellStart"/>
      <w:r w:rsidR="00CE1873" w:rsidRPr="00CE1873">
        <w:rPr>
          <w:sz w:val="22"/>
          <w:szCs w:val="22"/>
        </w:rPr>
        <w:t>vinyl</w:t>
      </w:r>
      <w:proofErr w:type="spellEnd"/>
      <w:r w:rsidR="00CE1873" w:rsidRPr="00CE1873">
        <w:rPr>
          <w:sz w:val="22"/>
          <w:szCs w:val="22"/>
        </w:rPr>
        <w:t xml:space="preserve"> </w:t>
      </w:r>
      <w:proofErr w:type="spellStart"/>
      <w:r w:rsidR="00CE1873" w:rsidRPr="00CE1873">
        <w:rPr>
          <w:sz w:val="22"/>
          <w:szCs w:val="22"/>
        </w:rPr>
        <w:t>alcohol</w:t>
      </w:r>
      <w:proofErr w:type="spellEnd"/>
      <w:r w:rsidR="00CE1873" w:rsidRPr="00CE1873">
        <w:rPr>
          <w:sz w:val="22"/>
          <w:szCs w:val="22"/>
        </w:rPr>
        <w:t xml:space="preserve">) (PVA) </w:t>
      </w:r>
      <w:proofErr w:type="spellStart"/>
      <w:r w:rsidR="00CE1873" w:rsidRPr="00CE1873">
        <w:rPr>
          <w:sz w:val="22"/>
          <w:szCs w:val="22"/>
        </w:rPr>
        <w:t>hydrogel</w:t>
      </w:r>
      <w:proofErr w:type="spellEnd"/>
      <w:r w:rsidR="00CE1873" w:rsidRPr="00CE1873">
        <w:rPr>
          <w:sz w:val="22"/>
          <w:szCs w:val="22"/>
        </w:rPr>
        <w:t xml:space="preserve"> </w:t>
      </w:r>
      <w:proofErr w:type="spellStart"/>
      <w:r w:rsidR="00CE1873" w:rsidRPr="00CE1873">
        <w:rPr>
          <w:sz w:val="22"/>
          <w:szCs w:val="22"/>
        </w:rPr>
        <w:t>and</w:t>
      </w:r>
      <w:proofErr w:type="spellEnd"/>
      <w:r w:rsidR="00CE1873" w:rsidRPr="00CE1873">
        <w:rPr>
          <w:sz w:val="22"/>
          <w:szCs w:val="22"/>
        </w:rPr>
        <w:t xml:space="preserve"> </w:t>
      </w:r>
      <w:proofErr w:type="spellStart"/>
      <w:r w:rsidR="00CE1873" w:rsidRPr="00CE1873">
        <w:rPr>
          <w:sz w:val="22"/>
          <w:szCs w:val="22"/>
        </w:rPr>
        <w:t>keratin</w:t>
      </w:r>
      <w:proofErr w:type="spellEnd"/>
      <w:r w:rsidR="00CE1873" w:rsidRPr="00CE1873">
        <w:rPr>
          <w:sz w:val="22"/>
          <w:szCs w:val="22"/>
        </w:rPr>
        <w:t xml:space="preserve">. </w:t>
      </w:r>
      <w:proofErr w:type="spellStart"/>
      <w:r w:rsidR="00CE1873" w:rsidRPr="00CE1873">
        <w:rPr>
          <w:sz w:val="22"/>
          <w:szCs w:val="22"/>
        </w:rPr>
        <w:t>The</w:t>
      </w:r>
      <w:proofErr w:type="spellEnd"/>
      <w:r w:rsidR="00CE1873" w:rsidRPr="00CE1873">
        <w:rPr>
          <w:sz w:val="22"/>
          <w:szCs w:val="22"/>
        </w:rPr>
        <w:t xml:space="preserve"> </w:t>
      </w:r>
      <w:proofErr w:type="spellStart"/>
      <w:r w:rsidR="00CE1873" w:rsidRPr="00CE1873">
        <w:rPr>
          <w:sz w:val="22"/>
          <w:szCs w:val="22"/>
        </w:rPr>
        <w:t>focus</w:t>
      </w:r>
      <w:proofErr w:type="spellEnd"/>
      <w:r w:rsidR="00CE1873" w:rsidRPr="00CE1873">
        <w:rPr>
          <w:sz w:val="22"/>
          <w:szCs w:val="22"/>
        </w:rPr>
        <w:t xml:space="preserve"> </w:t>
      </w:r>
      <w:proofErr w:type="spellStart"/>
      <w:r w:rsidR="00CE1873" w:rsidRPr="00CE1873">
        <w:rPr>
          <w:sz w:val="22"/>
          <w:szCs w:val="22"/>
        </w:rPr>
        <w:t>is</w:t>
      </w:r>
      <w:proofErr w:type="spellEnd"/>
      <w:r w:rsidR="00CE1873" w:rsidRPr="00CE1873">
        <w:rPr>
          <w:sz w:val="22"/>
          <w:szCs w:val="22"/>
        </w:rPr>
        <w:t xml:space="preserve"> </w:t>
      </w:r>
      <w:proofErr w:type="spellStart"/>
      <w:r w:rsidR="00CE1873" w:rsidRPr="00CE1873">
        <w:rPr>
          <w:sz w:val="22"/>
          <w:szCs w:val="22"/>
        </w:rPr>
        <w:t>on</w:t>
      </w:r>
      <w:proofErr w:type="spellEnd"/>
      <w:r w:rsidR="00CE1873" w:rsidRPr="00CE1873">
        <w:rPr>
          <w:sz w:val="22"/>
          <w:szCs w:val="22"/>
        </w:rPr>
        <w:t xml:space="preserve"> </w:t>
      </w:r>
      <w:proofErr w:type="spellStart"/>
      <w:r w:rsidR="00CE1873" w:rsidRPr="00CE1873">
        <w:rPr>
          <w:sz w:val="22"/>
          <w:szCs w:val="22"/>
        </w:rPr>
        <w:t>assessing</w:t>
      </w:r>
      <w:proofErr w:type="spellEnd"/>
      <w:r w:rsidR="00CE1873" w:rsidRPr="00CE1873">
        <w:rPr>
          <w:sz w:val="22"/>
          <w:szCs w:val="22"/>
        </w:rPr>
        <w:t xml:space="preserve"> </w:t>
      </w:r>
      <w:proofErr w:type="spellStart"/>
      <w:r w:rsidR="00CE1873" w:rsidRPr="00CE1873">
        <w:rPr>
          <w:sz w:val="22"/>
          <w:szCs w:val="22"/>
        </w:rPr>
        <w:t>mechanical</w:t>
      </w:r>
      <w:proofErr w:type="spellEnd"/>
      <w:r w:rsidR="00CE1873" w:rsidRPr="00CE1873">
        <w:rPr>
          <w:sz w:val="22"/>
          <w:szCs w:val="22"/>
        </w:rPr>
        <w:t xml:space="preserve"> </w:t>
      </w:r>
      <w:proofErr w:type="spellStart"/>
      <w:r w:rsidR="00CE1873" w:rsidRPr="00CE1873">
        <w:rPr>
          <w:sz w:val="22"/>
          <w:szCs w:val="22"/>
        </w:rPr>
        <w:t>strength</w:t>
      </w:r>
      <w:proofErr w:type="spellEnd"/>
      <w:r w:rsidR="00CE1873" w:rsidRPr="00CE1873">
        <w:rPr>
          <w:sz w:val="22"/>
          <w:szCs w:val="22"/>
        </w:rPr>
        <w:t xml:space="preserve">, </w:t>
      </w:r>
      <w:proofErr w:type="spellStart"/>
      <w:r w:rsidR="00CE1873" w:rsidRPr="00CE1873">
        <w:rPr>
          <w:sz w:val="22"/>
          <w:szCs w:val="22"/>
        </w:rPr>
        <w:t>thermal</w:t>
      </w:r>
      <w:proofErr w:type="spellEnd"/>
      <w:r w:rsidR="00CE1873" w:rsidRPr="00CE1873">
        <w:rPr>
          <w:sz w:val="22"/>
          <w:szCs w:val="22"/>
        </w:rPr>
        <w:t xml:space="preserve"> </w:t>
      </w:r>
      <w:proofErr w:type="spellStart"/>
      <w:r w:rsidR="00CE1873" w:rsidRPr="00CE1873">
        <w:rPr>
          <w:sz w:val="22"/>
          <w:szCs w:val="22"/>
        </w:rPr>
        <w:t>stability</w:t>
      </w:r>
      <w:proofErr w:type="spellEnd"/>
      <w:r w:rsidR="00CE1873" w:rsidRPr="00CE1873">
        <w:rPr>
          <w:sz w:val="22"/>
          <w:szCs w:val="22"/>
        </w:rPr>
        <w:t xml:space="preserve">, </w:t>
      </w:r>
      <w:proofErr w:type="spellStart"/>
      <w:r w:rsidR="00CE1873" w:rsidRPr="00CE1873">
        <w:rPr>
          <w:sz w:val="22"/>
          <w:szCs w:val="22"/>
        </w:rPr>
        <w:t>water</w:t>
      </w:r>
      <w:proofErr w:type="spellEnd"/>
      <w:r w:rsidR="00CE1873" w:rsidRPr="00CE1873">
        <w:rPr>
          <w:sz w:val="22"/>
          <w:szCs w:val="22"/>
        </w:rPr>
        <w:t xml:space="preserve"> </w:t>
      </w:r>
      <w:proofErr w:type="spellStart"/>
      <w:r w:rsidR="00CE1873" w:rsidRPr="00CE1873">
        <w:rPr>
          <w:sz w:val="22"/>
          <w:szCs w:val="22"/>
        </w:rPr>
        <w:t>absorption</w:t>
      </w:r>
      <w:proofErr w:type="spellEnd"/>
      <w:r w:rsidR="00CE1873" w:rsidRPr="00CE1873">
        <w:rPr>
          <w:sz w:val="22"/>
          <w:szCs w:val="22"/>
        </w:rPr>
        <w:t xml:space="preserve">, </w:t>
      </w:r>
      <w:proofErr w:type="spellStart"/>
      <w:r w:rsidR="00CE1873" w:rsidRPr="00CE1873">
        <w:rPr>
          <w:sz w:val="22"/>
          <w:szCs w:val="22"/>
        </w:rPr>
        <w:t>and</w:t>
      </w:r>
      <w:proofErr w:type="spellEnd"/>
      <w:r w:rsidR="00CE1873" w:rsidRPr="00CE1873">
        <w:rPr>
          <w:sz w:val="22"/>
          <w:szCs w:val="22"/>
        </w:rPr>
        <w:t xml:space="preserve"> </w:t>
      </w:r>
      <w:proofErr w:type="spellStart"/>
      <w:r w:rsidR="00CE1873" w:rsidRPr="00CE1873">
        <w:rPr>
          <w:sz w:val="22"/>
          <w:szCs w:val="22"/>
        </w:rPr>
        <w:t>biodegradability</w:t>
      </w:r>
      <w:proofErr w:type="spellEnd"/>
      <w:r w:rsidR="00CE1873" w:rsidRPr="00CE1873">
        <w:rPr>
          <w:sz w:val="22"/>
          <w:szCs w:val="22"/>
        </w:rPr>
        <w:t xml:space="preserve">, </w:t>
      </w:r>
      <w:proofErr w:type="spellStart"/>
      <w:r w:rsidR="00CE1873" w:rsidRPr="00CE1873">
        <w:rPr>
          <w:sz w:val="22"/>
          <w:szCs w:val="22"/>
        </w:rPr>
        <w:t>highlighting</w:t>
      </w:r>
      <w:proofErr w:type="spellEnd"/>
      <w:r w:rsidR="00CE1873" w:rsidRPr="00CE1873">
        <w:rPr>
          <w:sz w:val="22"/>
          <w:szCs w:val="22"/>
        </w:rPr>
        <w:t xml:space="preserve"> </w:t>
      </w:r>
      <w:proofErr w:type="spellStart"/>
      <w:r w:rsidR="00CE1873" w:rsidRPr="00CE1873">
        <w:rPr>
          <w:sz w:val="22"/>
          <w:szCs w:val="22"/>
        </w:rPr>
        <w:t>their</w:t>
      </w:r>
      <w:proofErr w:type="spellEnd"/>
      <w:r w:rsidR="00CE1873" w:rsidRPr="00CE1873">
        <w:rPr>
          <w:sz w:val="22"/>
          <w:szCs w:val="22"/>
        </w:rPr>
        <w:t xml:space="preserve"> </w:t>
      </w:r>
      <w:proofErr w:type="spellStart"/>
      <w:r w:rsidR="00CE1873" w:rsidRPr="00CE1873">
        <w:rPr>
          <w:sz w:val="22"/>
          <w:szCs w:val="22"/>
        </w:rPr>
        <w:t>potential</w:t>
      </w:r>
      <w:proofErr w:type="spellEnd"/>
      <w:r w:rsidR="00CE1873" w:rsidRPr="00CE1873">
        <w:rPr>
          <w:sz w:val="22"/>
          <w:szCs w:val="22"/>
        </w:rPr>
        <w:t xml:space="preserve"> </w:t>
      </w:r>
      <w:proofErr w:type="spellStart"/>
      <w:r w:rsidR="00CE1873" w:rsidRPr="00CE1873">
        <w:rPr>
          <w:sz w:val="22"/>
          <w:szCs w:val="22"/>
        </w:rPr>
        <w:t>for</w:t>
      </w:r>
      <w:proofErr w:type="spellEnd"/>
      <w:r w:rsidR="00CE1873" w:rsidRPr="00CE1873">
        <w:rPr>
          <w:sz w:val="22"/>
          <w:szCs w:val="22"/>
        </w:rPr>
        <w:t xml:space="preserve"> </w:t>
      </w:r>
      <w:proofErr w:type="spellStart"/>
      <w:r w:rsidR="00CE1873" w:rsidRPr="00CE1873">
        <w:rPr>
          <w:sz w:val="22"/>
          <w:szCs w:val="22"/>
        </w:rPr>
        <w:t>applications</w:t>
      </w:r>
      <w:proofErr w:type="spellEnd"/>
      <w:r w:rsidR="00CE1873" w:rsidRPr="00CE1873">
        <w:rPr>
          <w:sz w:val="22"/>
          <w:szCs w:val="22"/>
        </w:rPr>
        <w:t xml:space="preserve"> </w:t>
      </w:r>
      <w:proofErr w:type="spellStart"/>
      <w:r w:rsidR="00CE1873" w:rsidRPr="00CE1873">
        <w:rPr>
          <w:sz w:val="22"/>
          <w:szCs w:val="22"/>
        </w:rPr>
        <w:t>in</w:t>
      </w:r>
      <w:proofErr w:type="spellEnd"/>
      <w:r w:rsidR="00CE1873" w:rsidRPr="00CE1873">
        <w:rPr>
          <w:sz w:val="22"/>
          <w:szCs w:val="22"/>
        </w:rPr>
        <w:t xml:space="preserve"> </w:t>
      </w:r>
      <w:proofErr w:type="spellStart"/>
      <w:r w:rsidR="00CE1873" w:rsidRPr="00CE1873">
        <w:rPr>
          <w:sz w:val="22"/>
          <w:szCs w:val="22"/>
        </w:rPr>
        <w:t>agriculture</w:t>
      </w:r>
      <w:proofErr w:type="spellEnd"/>
      <w:r w:rsidR="00CE1873" w:rsidRPr="00CE1873">
        <w:rPr>
          <w:sz w:val="22"/>
          <w:szCs w:val="22"/>
        </w:rPr>
        <w:t xml:space="preserve">, </w:t>
      </w:r>
      <w:proofErr w:type="spellStart"/>
      <w:r w:rsidR="00CE1873" w:rsidRPr="00CE1873">
        <w:rPr>
          <w:sz w:val="22"/>
          <w:szCs w:val="22"/>
        </w:rPr>
        <w:t>packaging</w:t>
      </w:r>
      <w:proofErr w:type="spellEnd"/>
      <w:r w:rsidR="00CE1873" w:rsidRPr="00CE1873">
        <w:rPr>
          <w:sz w:val="22"/>
          <w:szCs w:val="22"/>
        </w:rPr>
        <w:t xml:space="preserve">, </w:t>
      </w:r>
      <w:proofErr w:type="spellStart"/>
      <w:r w:rsidR="00CE1873" w:rsidRPr="00CE1873">
        <w:rPr>
          <w:sz w:val="22"/>
          <w:szCs w:val="22"/>
        </w:rPr>
        <w:t>and</w:t>
      </w:r>
      <w:proofErr w:type="spellEnd"/>
      <w:r w:rsidR="00CE1873" w:rsidRPr="00CE1873">
        <w:rPr>
          <w:sz w:val="22"/>
          <w:szCs w:val="22"/>
        </w:rPr>
        <w:t xml:space="preserve"> </w:t>
      </w:r>
      <w:proofErr w:type="spellStart"/>
      <w:r w:rsidR="00CE1873" w:rsidRPr="00CE1873">
        <w:rPr>
          <w:sz w:val="22"/>
          <w:szCs w:val="22"/>
        </w:rPr>
        <w:t>biomedical</w:t>
      </w:r>
      <w:proofErr w:type="spellEnd"/>
      <w:r w:rsidR="00CE1873" w:rsidRPr="00CE1873">
        <w:rPr>
          <w:sz w:val="22"/>
          <w:szCs w:val="22"/>
        </w:rPr>
        <w:t xml:space="preserve"> </w:t>
      </w:r>
      <w:proofErr w:type="spellStart"/>
      <w:r w:rsidR="00CE1873" w:rsidRPr="00CE1873">
        <w:rPr>
          <w:sz w:val="22"/>
          <w:szCs w:val="22"/>
        </w:rPr>
        <w:t>engineering</w:t>
      </w:r>
      <w:proofErr w:type="spellEnd"/>
      <w:r w:rsidR="00CE1873" w:rsidRPr="00CE1873">
        <w:rPr>
          <w:sz w:val="22"/>
          <w:szCs w:val="22"/>
        </w:rPr>
        <w:t>.</w:t>
      </w:r>
    </w:p>
    <w:p w14:paraId="41A95EEA" w14:textId="1839D421" w:rsidR="00FD2540" w:rsidRPr="00CE1873" w:rsidRDefault="00315272">
      <w:pPr>
        <w:pStyle w:val="IndexTerms"/>
        <w:spacing w:line="276" w:lineRule="auto"/>
        <w:ind w:firstLine="0"/>
        <w:rPr>
          <w:sz w:val="22"/>
          <w:szCs w:val="22"/>
          <w:lang w:val="en-GB"/>
        </w:rPr>
      </w:pPr>
      <w:proofErr w:type="spellStart"/>
      <w:r>
        <w:rPr>
          <w:sz w:val="22"/>
          <w:szCs w:val="22"/>
        </w:rPr>
        <w:t>Кеу</w:t>
      </w:r>
      <w:proofErr w:type="spellEnd"/>
      <w:r>
        <w:rPr>
          <w:sz w:val="22"/>
          <w:szCs w:val="22"/>
          <w:lang w:val="en-US"/>
        </w:rPr>
        <w:t>words</w:t>
      </w:r>
      <w:r>
        <w:rPr>
          <w:sz w:val="22"/>
          <w:szCs w:val="22"/>
          <w:lang w:val="en-GB"/>
        </w:rPr>
        <w:t>:</w:t>
      </w:r>
      <w:r>
        <w:rPr>
          <w:sz w:val="22"/>
          <w:szCs w:val="22"/>
          <w:lang w:val="en-US"/>
        </w:rPr>
        <w:t xml:space="preserve"> </w:t>
      </w:r>
      <w:r w:rsidR="00CE1873" w:rsidRPr="00CE1873">
        <w:rPr>
          <w:sz w:val="22"/>
          <w:szCs w:val="22"/>
          <w:lang w:val="en-US"/>
        </w:rPr>
        <w:t>latex composites, PVA hydrogel, keratin, biodegradable materials, mechanical properties, thermal stability, water absorption</w:t>
      </w:r>
    </w:p>
    <w:p w14:paraId="19AAFC2B" w14:textId="7D8BBEBD" w:rsidR="00FD2540" w:rsidRDefault="00315272">
      <w:pPr>
        <w:spacing w:after="120"/>
        <w:jc w:val="center"/>
        <w:rPr>
          <w:b/>
        </w:rPr>
      </w:pPr>
      <w:proofErr w:type="spellStart"/>
      <w:r>
        <w:rPr>
          <w:b/>
        </w:rPr>
        <w:t>Introduction</w:t>
      </w:r>
      <w:proofErr w:type="spellEnd"/>
      <w:r>
        <w:rPr>
          <w:b/>
        </w:rPr>
        <w:t xml:space="preserve"> </w:t>
      </w:r>
    </w:p>
    <w:p w14:paraId="154D1DFD" w14:textId="77777777" w:rsidR="00CE1873" w:rsidRPr="00CE1873" w:rsidRDefault="00CE1873" w:rsidP="00CE1873">
      <w:pPr>
        <w:tabs>
          <w:tab w:val="left" w:pos="198"/>
        </w:tabs>
        <w:spacing w:line="276" w:lineRule="auto"/>
        <w:ind w:firstLine="567"/>
        <w:jc w:val="both"/>
        <w:rPr>
          <w:lang w:val="en-US"/>
        </w:rPr>
      </w:pPr>
      <w:r w:rsidRPr="00CE1873">
        <w:rPr>
          <w:lang w:val="en-US"/>
        </w:rPr>
        <w:t>The increasing environmental concerns and the imperative for sustainable development have intensified research into biodegradable materials. Natural rubber latex, known for its elasticity, film-forming capabilities, and biocompatibility, serves as a versatile matrix in composite materials. Enhancing its properties through the incorporation of biodegradable fillers has garnered significant attention, as it allows the development of materials with tailored mechanical, thermal, and environmental properties suitable for various applications.</w:t>
      </w:r>
    </w:p>
    <w:p w14:paraId="4A8420FE" w14:textId="77777777" w:rsidR="00CE1873" w:rsidRPr="00CE1873" w:rsidRDefault="00CE1873" w:rsidP="00CE1873">
      <w:pPr>
        <w:tabs>
          <w:tab w:val="left" w:pos="198"/>
        </w:tabs>
        <w:spacing w:line="276" w:lineRule="auto"/>
        <w:ind w:firstLine="567"/>
        <w:jc w:val="both"/>
        <w:rPr>
          <w:lang w:val="en-US"/>
        </w:rPr>
      </w:pPr>
      <w:r w:rsidRPr="00CE1873">
        <w:rPr>
          <w:lang w:val="en-US"/>
        </w:rPr>
        <w:t>Poly(vinyl alcohol) (PVA) is a synthetic polymer recognized for its excellent film-forming, emulsifying, and adhesive properties. Its hydrophilic nature and biodegradability make it an ideal candidate for environmentally friendly materials. PVA hydrogels have been widely studied due to their remarkable water retention capacity, mechanical strength, and biocompatibility, making them suitable for biomedical applications such as wound dressings, drug delivery systems, and tissue engineering scaffolds [1]. Moreover, PVA-based hydrogels have been explored for their ability to form strong intermolecular interactions with various natural polymers, further enhancing their properties [2].</w:t>
      </w:r>
    </w:p>
    <w:p w14:paraId="49F27EF3" w14:textId="77777777" w:rsidR="00CE1873" w:rsidRPr="00CE1873" w:rsidRDefault="00CE1873" w:rsidP="00CE1873">
      <w:pPr>
        <w:tabs>
          <w:tab w:val="left" w:pos="198"/>
        </w:tabs>
        <w:spacing w:line="276" w:lineRule="auto"/>
        <w:ind w:firstLine="567"/>
        <w:jc w:val="both"/>
        <w:rPr>
          <w:lang w:val="en-US"/>
        </w:rPr>
      </w:pPr>
      <w:r w:rsidRPr="00CE1873">
        <w:rPr>
          <w:lang w:val="en-US"/>
        </w:rPr>
        <w:t xml:space="preserve">Keratin, a fibrous structural protein commonly found in animal sources such as wool, feathers, and hair, has been extensively studied for its potential in the development of </w:t>
      </w:r>
      <w:proofErr w:type="spellStart"/>
      <w:r w:rsidRPr="00CE1873">
        <w:rPr>
          <w:lang w:val="en-US"/>
        </w:rPr>
        <w:t>biocomposites</w:t>
      </w:r>
      <w:proofErr w:type="spellEnd"/>
      <w:r w:rsidRPr="00CE1873">
        <w:rPr>
          <w:lang w:val="en-US"/>
        </w:rPr>
        <w:t xml:space="preserve"> due to its excellent biocompatibility, biodegradability, and mechanical reinforcement capabilities. Keratin-based materials exhibit remarkable structural properties owing to the presence of disulfide bonds and hydrogen bonding within their molecular structure [3]. Studies have shown that keratin can be effectively combined with both natural and synthetic polymers to improve the mechanical, thermal, and barrier properties of composite materials [4].</w:t>
      </w:r>
    </w:p>
    <w:p w14:paraId="76FCFF79" w14:textId="77777777" w:rsidR="00CE1873" w:rsidRPr="00CE1873" w:rsidRDefault="00CE1873" w:rsidP="00CE1873">
      <w:pPr>
        <w:tabs>
          <w:tab w:val="left" w:pos="198"/>
        </w:tabs>
        <w:spacing w:line="276" w:lineRule="auto"/>
        <w:ind w:firstLine="567"/>
        <w:jc w:val="both"/>
        <w:rPr>
          <w:lang w:val="en-US"/>
        </w:rPr>
      </w:pPr>
      <w:r w:rsidRPr="00CE1873">
        <w:rPr>
          <w:lang w:val="en-US"/>
        </w:rPr>
        <w:t xml:space="preserve">Recent studies have emphasized the creation of keratin-based </w:t>
      </w:r>
      <w:proofErr w:type="spellStart"/>
      <w:r w:rsidRPr="00CE1873">
        <w:rPr>
          <w:lang w:val="en-US"/>
        </w:rPr>
        <w:t>biocomposites</w:t>
      </w:r>
      <w:proofErr w:type="spellEnd"/>
      <w:r w:rsidRPr="00CE1873">
        <w:rPr>
          <w:lang w:val="en-US"/>
        </w:rPr>
        <w:t>, reinforced and cross-linked with dual-functional cellulose nanocrystals, to significantly enhance their mechanical strength, structural integrity, and long-term stability in various environmental conditions [5]. Additionally, keratin’s ability to form hydrogen bonds with hydrophilic polymers like PVA has been highlighted in literature as a promising strategy to develop materials with enhanced mechanical properties and biodegradability [6].</w:t>
      </w:r>
    </w:p>
    <w:p w14:paraId="62E1C4EF" w14:textId="77777777" w:rsidR="00CE1873" w:rsidRPr="00CE1873" w:rsidRDefault="00CE1873" w:rsidP="00CE1873">
      <w:pPr>
        <w:tabs>
          <w:tab w:val="left" w:pos="198"/>
        </w:tabs>
        <w:spacing w:line="276" w:lineRule="auto"/>
        <w:ind w:firstLine="567"/>
        <w:jc w:val="both"/>
        <w:rPr>
          <w:lang w:val="en-US"/>
        </w:rPr>
      </w:pPr>
      <w:r w:rsidRPr="00CE1873">
        <w:rPr>
          <w:lang w:val="en-US"/>
        </w:rPr>
        <w:t xml:space="preserve">The integration of PVA and keratin in latex matrices has the potential to produce materials with unique properties, such as increased tensile strength, improved thermal stability, and controlled biodegradability. These materials are of significant interest in various industries, including agriculture, where biodegradable films are used for mulching and soil stabilization, in </w:t>
      </w:r>
      <w:r w:rsidRPr="00CE1873">
        <w:rPr>
          <w:lang w:val="en-US"/>
        </w:rPr>
        <w:lastRenderedPageBreak/>
        <w:t>packaging as eco-friendly alternatives to traditional plastics, and in biomedical engineering for biodegradable implants and drug delivery systems. Furthermore, the combination of PVA's hydrophilic nature and keratin's structural properties could lead to composites with superior moisture management and barrier functionalities, expanding their application range [7].</w:t>
      </w:r>
    </w:p>
    <w:p w14:paraId="0A4CE7F5" w14:textId="77777777" w:rsidR="00CE1873" w:rsidRPr="00CE1873" w:rsidRDefault="00CE1873" w:rsidP="00CE1873">
      <w:pPr>
        <w:tabs>
          <w:tab w:val="left" w:pos="198"/>
        </w:tabs>
        <w:spacing w:line="276" w:lineRule="auto"/>
        <w:ind w:firstLine="567"/>
        <w:jc w:val="both"/>
        <w:rPr>
          <w:lang w:val="en-US"/>
        </w:rPr>
      </w:pPr>
      <w:r w:rsidRPr="00CE1873">
        <w:rPr>
          <w:lang w:val="en-US"/>
        </w:rPr>
        <w:t>This study aims to synthesize and characterize latex composites filled with PVA hydrogel and keratin, evaluating their mechanical, thermal, and chemical properties. By varying the proportions of PVA and keratin, we seek to determine the optimal composition that balances strength, flexibility, and biodegradability. The comprehensive characterization of these materials provides valuable insights into their potential for diverse applications, contributing to the advancement of sustainable materials for agriculture, packaging, and biomedical engineering.</w:t>
      </w:r>
    </w:p>
    <w:p w14:paraId="436B6165" w14:textId="77777777" w:rsidR="00CE1873" w:rsidRPr="00CE1873" w:rsidRDefault="00CE1873" w:rsidP="00CE1873">
      <w:pPr>
        <w:tabs>
          <w:tab w:val="left" w:pos="198"/>
        </w:tabs>
        <w:spacing w:before="120" w:after="120"/>
        <w:jc w:val="center"/>
        <w:rPr>
          <w:b/>
          <w:bCs/>
          <w:lang w:val="en-US"/>
        </w:rPr>
      </w:pPr>
      <w:r w:rsidRPr="00CE1873">
        <w:rPr>
          <w:b/>
          <w:bCs/>
          <w:lang w:val="en-US"/>
        </w:rPr>
        <w:t>Materials and Methods</w:t>
      </w:r>
    </w:p>
    <w:p w14:paraId="09842CCC" w14:textId="77777777" w:rsidR="00CE1873" w:rsidRPr="00CE1873" w:rsidRDefault="00CE1873" w:rsidP="00CE1873">
      <w:pPr>
        <w:tabs>
          <w:tab w:val="left" w:pos="198"/>
        </w:tabs>
        <w:spacing w:line="276" w:lineRule="auto"/>
        <w:ind w:firstLine="567"/>
        <w:jc w:val="both"/>
        <w:rPr>
          <w:lang w:val="en-US"/>
        </w:rPr>
      </w:pPr>
      <w:r w:rsidRPr="00CE1873">
        <w:rPr>
          <w:lang w:val="en-US"/>
        </w:rPr>
        <w:t>The composites were synthesized by incorporating PVA hydrogel and keratin into a latex matrix. A pure latex film without any additives was used as a reference sample (REF) to evaluate the effect of modifications. Samples S1, S2, and S3 represent composites with varying ratios of PVA hydrogel and keratin, where S1 contains the highest keratin content, S3 the lowest, and S2 represents an intermediate composition. These variations allowed for the assessment of the influence of keratin and PVA content on the composites' mechanical, thermal, and moisture properties. The keratin, sourced from bovine hair and bird feathers, was milled and sieved to ensure uniform particle size distribution.</w:t>
      </w:r>
    </w:p>
    <w:p w14:paraId="2EB73E11" w14:textId="77777777" w:rsidR="00CE1873" w:rsidRPr="00CE1873" w:rsidRDefault="00CE1873" w:rsidP="00CE1873">
      <w:pPr>
        <w:tabs>
          <w:tab w:val="left" w:pos="198"/>
        </w:tabs>
        <w:spacing w:line="276" w:lineRule="auto"/>
        <w:ind w:firstLine="567"/>
        <w:jc w:val="both"/>
        <w:rPr>
          <w:lang w:val="en-US"/>
        </w:rPr>
      </w:pPr>
      <w:r w:rsidRPr="00CE1873">
        <w:rPr>
          <w:lang w:val="en-US"/>
        </w:rPr>
        <w:t>The PVA hydrogel was prepared by dissolving PVA powder in deionized water at elevated temperatures under constant stirring until a clear solution was obtained, followed by cooling to room temperature to form the hydrogel. The latex films were prepared by blending the components to ensure homogeneity, followed by casting onto Petri dishes and drying at 40°C for 24 hours.</w:t>
      </w:r>
    </w:p>
    <w:p w14:paraId="46D4CF3E" w14:textId="77777777" w:rsidR="00CE1873" w:rsidRPr="00CE1873" w:rsidRDefault="00CE1873" w:rsidP="00CE1873">
      <w:pPr>
        <w:tabs>
          <w:tab w:val="left" w:pos="198"/>
        </w:tabs>
        <w:spacing w:line="276" w:lineRule="auto"/>
        <w:ind w:firstLine="567"/>
        <w:jc w:val="both"/>
        <w:rPr>
          <w:lang w:val="en-US"/>
        </w:rPr>
      </w:pPr>
      <w:r w:rsidRPr="00CE1873">
        <w:rPr>
          <w:lang w:val="en-US"/>
        </w:rPr>
        <w:t>To evaluate the physical, chemical, and thermal properties of the composites, a series of tests were conducted to ensure comprehensive characterization.</w:t>
      </w:r>
    </w:p>
    <w:p w14:paraId="6D1F58C9" w14:textId="77777777" w:rsidR="00CE1873" w:rsidRPr="00CE1873" w:rsidRDefault="00CE1873" w:rsidP="00CE1873">
      <w:pPr>
        <w:tabs>
          <w:tab w:val="left" w:pos="198"/>
        </w:tabs>
        <w:spacing w:line="276" w:lineRule="auto"/>
        <w:ind w:firstLine="567"/>
        <w:jc w:val="both"/>
        <w:rPr>
          <w:lang w:val="en-US"/>
        </w:rPr>
      </w:pPr>
      <w:r w:rsidRPr="00CE1873">
        <w:rPr>
          <w:lang w:val="en-US"/>
        </w:rPr>
        <w:t>Mechanical properties, including tensile strength and elongation at break, were measured using a universal testing machine (Instron 3345) with a 500 N load cell at a crosshead speed of 10 mm/min, following ASTM D412 standards. Shore A hardness was determined using a durometer (Shore Instruments) in accordance with ASTM D2240.</w:t>
      </w:r>
    </w:p>
    <w:p w14:paraId="669DF9FF" w14:textId="77777777" w:rsidR="00CE1873" w:rsidRPr="00CE1873" w:rsidRDefault="00CE1873" w:rsidP="00CE1873">
      <w:pPr>
        <w:tabs>
          <w:tab w:val="left" w:pos="198"/>
        </w:tabs>
        <w:spacing w:line="276" w:lineRule="auto"/>
        <w:ind w:firstLine="567"/>
        <w:jc w:val="both"/>
        <w:rPr>
          <w:lang w:val="en-US"/>
        </w:rPr>
      </w:pPr>
      <w:r w:rsidRPr="00CE1873">
        <w:rPr>
          <w:lang w:val="en-US"/>
        </w:rPr>
        <w:t>Chemical interactions between latex, PVA hydrogel, and keratin were analyzed using Fourier-transform infrared spectroscopy (FTIR) with a Nicolet iS10 spectrometer in the range of 4000–400 cm⁻¹. This helped identify functional groups such as hydroxyl (O-H), carbonyl (C=O), and amide bonds.</w:t>
      </w:r>
    </w:p>
    <w:p w14:paraId="558CA9E4" w14:textId="77777777" w:rsidR="00CE1873" w:rsidRPr="00CE1873" w:rsidRDefault="00CE1873" w:rsidP="00CE1873">
      <w:pPr>
        <w:tabs>
          <w:tab w:val="left" w:pos="198"/>
        </w:tabs>
        <w:spacing w:line="276" w:lineRule="auto"/>
        <w:ind w:firstLine="567"/>
        <w:jc w:val="both"/>
        <w:rPr>
          <w:lang w:val="en-US"/>
        </w:rPr>
      </w:pPr>
      <w:r w:rsidRPr="00CE1873">
        <w:rPr>
          <w:lang w:val="en-US"/>
        </w:rPr>
        <w:t>Surface morphology was examined with scanning electron microscopy (SEM, JEOL JSM-6390) at 15 kV, providing insights into the dispersion of keratin particles within the latex matrix.</w:t>
      </w:r>
    </w:p>
    <w:p w14:paraId="105E6C25" w14:textId="77777777" w:rsidR="00CE1873" w:rsidRPr="00CE1873" w:rsidRDefault="00CE1873" w:rsidP="00CE1873">
      <w:pPr>
        <w:tabs>
          <w:tab w:val="left" w:pos="198"/>
        </w:tabs>
        <w:spacing w:line="276" w:lineRule="auto"/>
        <w:ind w:firstLine="567"/>
        <w:jc w:val="both"/>
        <w:rPr>
          <w:lang w:val="en-US"/>
        </w:rPr>
      </w:pPr>
      <w:r w:rsidRPr="00CE1873">
        <w:rPr>
          <w:lang w:val="en-US"/>
        </w:rPr>
        <w:t>Thermal stability was evaluated using thermogravimetric analysis (TGA) on a TA Instruments Q500. Samples were heated from 25°C to 600°C at 10°C/min under a nitrogen atmosphere, recording degradation temperatures and residual weight.</w:t>
      </w:r>
    </w:p>
    <w:p w14:paraId="11677287" w14:textId="77777777" w:rsidR="00CE1873" w:rsidRPr="00CE1873" w:rsidRDefault="00CE1873" w:rsidP="00CE1873">
      <w:pPr>
        <w:tabs>
          <w:tab w:val="left" w:pos="198"/>
        </w:tabs>
        <w:spacing w:line="276" w:lineRule="auto"/>
        <w:ind w:firstLine="567"/>
        <w:jc w:val="both"/>
        <w:rPr>
          <w:lang w:val="en-US"/>
        </w:rPr>
      </w:pPr>
      <w:r w:rsidRPr="00CE1873">
        <w:rPr>
          <w:lang w:val="en-US"/>
        </w:rPr>
        <w:t>Moisture properties were assessed by immersing samples in distilled water at 25°C for 24 hours, following ASTM D570 standards. Water absorption percentage was calculated based on weight differences before and after immersion.</w:t>
      </w:r>
    </w:p>
    <w:p w14:paraId="15CF76BE" w14:textId="17BED72B" w:rsidR="00CE1873" w:rsidRDefault="00CE1873" w:rsidP="00CE1873">
      <w:pPr>
        <w:tabs>
          <w:tab w:val="left" w:pos="198"/>
        </w:tabs>
        <w:spacing w:line="276" w:lineRule="auto"/>
        <w:ind w:firstLine="567"/>
        <w:jc w:val="both"/>
        <w:rPr>
          <w:lang w:val="en-US"/>
        </w:rPr>
      </w:pPr>
      <w:r w:rsidRPr="00CE1873">
        <w:rPr>
          <w:lang w:val="en-US"/>
        </w:rPr>
        <w:t>This evaluation provided a thorough understanding of the composites' performance, supporting their optimization for various applications.</w:t>
      </w:r>
    </w:p>
    <w:p w14:paraId="0F514199" w14:textId="77777777" w:rsidR="00CE1873" w:rsidRDefault="00CE1873">
      <w:pPr>
        <w:rPr>
          <w:lang w:val="en-US"/>
        </w:rPr>
      </w:pPr>
      <w:r>
        <w:rPr>
          <w:lang w:val="en-US"/>
        </w:rPr>
        <w:br w:type="page"/>
      </w:r>
    </w:p>
    <w:p w14:paraId="1ECD4EB3" w14:textId="77777777" w:rsidR="00CE1873" w:rsidRPr="00CE1873" w:rsidRDefault="00CE1873" w:rsidP="00CE1873">
      <w:pPr>
        <w:tabs>
          <w:tab w:val="left" w:pos="198"/>
        </w:tabs>
        <w:spacing w:before="120" w:after="120"/>
        <w:ind w:firstLine="567"/>
        <w:jc w:val="center"/>
        <w:rPr>
          <w:b/>
          <w:bCs/>
          <w:lang w:val="en-US"/>
        </w:rPr>
      </w:pPr>
      <w:r w:rsidRPr="00CE1873">
        <w:rPr>
          <w:b/>
          <w:bCs/>
          <w:lang w:val="en-US"/>
        </w:rPr>
        <w:lastRenderedPageBreak/>
        <w:t>Results and Discussion</w:t>
      </w:r>
    </w:p>
    <w:p w14:paraId="4550DB61" w14:textId="77777777" w:rsidR="00CE1873" w:rsidRPr="00CE1873" w:rsidRDefault="00CE1873" w:rsidP="00CE1873">
      <w:pPr>
        <w:tabs>
          <w:tab w:val="left" w:pos="198"/>
        </w:tabs>
        <w:spacing w:line="276" w:lineRule="auto"/>
        <w:ind w:firstLine="567"/>
        <w:jc w:val="both"/>
        <w:rPr>
          <w:lang w:val="en-US"/>
        </w:rPr>
      </w:pPr>
      <w:r w:rsidRPr="00CE1873">
        <w:rPr>
          <w:lang w:val="en-US"/>
        </w:rPr>
        <w:t>Mechanical testing revealed that the addition of PVA hydrogel significantly improved the flexibility and water retention properties of the composites. This enhancement can be attributed to the hydrophilic nature of PVA, which allows the composite matrix to retain more moisture, thus increasing its elasticity. In contrast, the REF sample, composed solely of latex, exhibited lower flexibility and no water retention capabilities, underscoring the critical role of PVA in enhancing these properties.</w:t>
      </w:r>
    </w:p>
    <w:p w14:paraId="49FCF47A" w14:textId="77777777" w:rsidR="00CE1873" w:rsidRPr="00CE1873" w:rsidRDefault="00CE1873" w:rsidP="00CE1873">
      <w:pPr>
        <w:tabs>
          <w:tab w:val="left" w:pos="198"/>
        </w:tabs>
        <w:spacing w:line="276" w:lineRule="auto"/>
        <w:ind w:firstLine="567"/>
        <w:jc w:val="both"/>
        <w:rPr>
          <w:lang w:val="en-US"/>
        </w:rPr>
      </w:pPr>
      <w:r w:rsidRPr="00CE1873">
        <w:rPr>
          <w:lang w:val="en-US"/>
        </w:rPr>
        <w:t>The incorporation of keratin contributed to a notable increase in tensile strength and hardness due to its structural reinforcement capabilities. Sample S1, with the highest keratin content, exhibited the most robust mechanical performance, achieving a tensile strength of 2.69 MPa (Table 1). This suggests that keratin’s fibrous structure effectively reinforces the latex matrix, providing resistance to deformation under stress. Conversely, sample S3, with the lowest keratin content and highest PVA concentration, demonstrated increased flexibility but reduced tensile strength (1.53 MPa), indicating the inherent trade-off between rigidity and elasticity in composite design.</w:t>
      </w:r>
    </w:p>
    <w:p w14:paraId="282F7B2D" w14:textId="083BB6CE" w:rsidR="00CE1873" w:rsidRPr="00CE1873" w:rsidRDefault="00CE1873" w:rsidP="00CE1873">
      <w:pPr>
        <w:tabs>
          <w:tab w:val="left" w:pos="198"/>
        </w:tabs>
        <w:spacing w:line="276" w:lineRule="auto"/>
        <w:ind w:firstLine="567"/>
        <w:jc w:val="both"/>
        <w:rPr>
          <w:lang w:val="en-US"/>
        </w:rPr>
      </w:pPr>
      <w:r w:rsidRPr="00CE1873">
        <w:rPr>
          <w:lang w:val="en-US"/>
        </w:rPr>
        <w:t>Shore A hardness values also reflected the reinforcing effect of keratin. Sample S1 displayed the highest hardness at 63, while S3 exhibited a lower hardness of 57. This trend confirms that higher keratin content enhances the composite’s structural integrity, providing greater resistance to surface deformation under applied force.</w:t>
      </w:r>
    </w:p>
    <w:p w14:paraId="3F57C7CC" w14:textId="23ADFBF2" w:rsidR="00FD2540" w:rsidRDefault="00315272">
      <w:pPr>
        <w:spacing w:before="120" w:line="276" w:lineRule="auto"/>
        <w:jc w:val="right"/>
      </w:pPr>
      <w:proofErr w:type="spellStart"/>
      <w:r>
        <w:rPr>
          <w:i/>
        </w:rPr>
        <w:t>Table</w:t>
      </w:r>
      <w:proofErr w:type="spellEnd"/>
      <w:r>
        <w:rPr>
          <w:i/>
        </w:rPr>
        <w:t xml:space="preserve"> 1 </w:t>
      </w:r>
      <w:proofErr w:type="spellStart"/>
      <w:r w:rsidR="00CE1873" w:rsidRPr="00CE1873">
        <w:rPr>
          <w:i/>
        </w:rPr>
        <w:t>Mechanical</w:t>
      </w:r>
      <w:proofErr w:type="spellEnd"/>
      <w:r w:rsidR="00CE1873" w:rsidRPr="00CE1873">
        <w:rPr>
          <w:i/>
        </w:rPr>
        <w:t xml:space="preserve"> </w:t>
      </w:r>
      <w:proofErr w:type="spellStart"/>
      <w:r w:rsidR="00CE1873" w:rsidRPr="00CE1873">
        <w:rPr>
          <w:i/>
        </w:rPr>
        <w:t>Properties</w:t>
      </w:r>
      <w:proofErr w:type="spellEnd"/>
      <w:r w:rsidR="00CE1873" w:rsidRPr="00CE1873">
        <w:rPr>
          <w:i/>
        </w:rPr>
        <w:t xml:space="preserve"> </w:t>
      </w:r>
      <w:proofErr w:type="spellStart"/>
      <w:r w:rsidR="00CE1873" w:rsidRPr="00CE1873">
        <w:rPr>
          <w:i/>
        </w:rPr>
        <w:t>of</w:t>
      </w:r>
      <w:proofErr w:type="spellEnd"/>
      <w:r w:rsidR="00CE1873" w:rsidRPr="00CE1873">
        <w:rPr>
          <w:i/>
        </w:rPr>
        <w:t xml:space="preserve"> </w:t>
      </w:r>
      <w:proofErr w:type="spellStart"/>
      <w:r w:rsidR="00CE1873" w:rsidRPr="00CE1873">
        <w:rPr>
          <w:i/>
        </w:rPr>
        <w:t>Latex</w:t>
      </w:r>
      <w:proofErr w:type="spellEnd"/>
      <w:r w:rsidR="00CE1873" w:rsidRPr="00CE1873">
        <w:rPr>
          <w:i/>
        </w:rPr>
        <w:t xml:space="preserve"> </w:t>
      </w:r>
      <w:proofErr w:type="spellStart"/>
      <w:r w:rsidR="00CE1873" w:rsidRPr="00CE1873">
        <w:rPr>
          <w:i/>
        </w:rPr>
        <w:t>Composites</w:t>
      </w:r>
      <w:proofErr w:type="spellEnd"/>
      <w:r w:rsidR="00CE1873" w:rsidRPr="00CE1873">
        <w:rPr>
          <w:i/>
        </w:rPr>
        <w:t xml:space="preserve"> </w:t>
      </w:r>
      <w:proofErr w:type="spellStart"/>
      <w:r w:rsidR="00CE1873" w:rsidRPr="00CE1873">
        <w:rPr>
          <w:i/>
        </w:rPr>
        <w:t>and</w:t>
      </w:r>
      <w:proofErr w:type="spellEnd"/>
      <w:r w:rsidR="00CE1873" w:rsidRPr="00CE1873">
        <w:rPr>
          <w:i/>
        </w:rPr>
        <w:t xml:space="preserve"> </w:t>
      </w:r>
      <w:proofErr w:type="spellStart"/>
      <w:r w:rsidR="00CE1873" w:rsidRPr="00CE1873">
        <w:rPr>
          <w:i/>
        </w:rPr>
        <w:t>Reference</w:t>
      </w:r>
      <w:proofErr w:type="spellEnd"/>
      <w:r w:rsidR="00CE1873" w:rsidRPr="00CE1873">
        <w:rPr>
          <w:i/>
        </w:rPr>
        <w:t xml:space="preserve"> </w:t>
      </w:r>
      <w:proofErr w:type="spellStart"/>
      <w:r w:rsidR="00CE1873" w:rsidRPr="00CE1873">
        <w:rPr>
          <w:i/>
        </w:rPr>
        <w:t>Sample</w:t>
      </w:r>
      <w:proofErr w:type="spellEnd"/>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872"/>
        <w:gridCol w:w="1873"/>
        <w:gridCol w:w="1873"/>
      </w:tblGrid>
      <w:tr w:rsidR="00CE1873" w14:paraId="5361CACA" w14:textId="65C1690C" w:rsidTr="00CE1873">
        <w:trPr>
          <w:jc w:val="center"/>
        </w:trPr>
        <w:tc>
          <w:tcPr>
            <w:tcW w:w="1872" w:type="dxa"/>
            <w:vAlign w:val="center"/>
          </w:tcPr>
          <w:p w14:paraId="6E0B8151" w14:textId="1B5D3479" w:rsidR="00CE1873" w:rsidRDefault="00CE1873" w:rsidP="00CE1873">
            <w:pPr>
              <w:spacing w:line="276" w:lineRule="auto"/>
              <w:jc w:val="center"/>
            </w:pPr>
            <w:proofErr w:type="spellStart"/>
            <w:r w:rsidRPr="00A56C24">
              <w:t>Sample</w:t>
            </w:r>
            <w:proofErr w:type="spellEnd"/>
            <w:r w:rsidRPr="00A56C24">
              <w:t xml:space="preserve"> ID</w:t>
            </w:r>
          </w:p>
        </w:tc>
        <w:tc>
          <w:tcPr>
            <w:tcW w:w="1873" w:type="dxa"/>
          </w:tcPr>
          <w:p w14:paraId="4A6D04E6" w14:textId="212481A0" w:rsidR="00CE1873" w:rsidRDefault="00CE1873" w:rsidP="00CE1873">
            <w:pPr>
              <w:spacing w:line="276" w:lineRule="auto"/>
              <w:jc w:val="center"/>
            </w:pPr>
            <w:proofErr w:type="spellStart"/>
            <w:r w:rsidRPr="00A56C24">
              <w:t>Tensile</w:t>
            </w:r>
            <w:proofErr w:type="spellEnd"/>
            <w:r w:rsidRPr="00A56C24">
              <w:t xml:space="preserve"> </w:t>
            </w:r>
            <w:proofErr w:type="spellStart"/>
            <w:r w:rsidRPr="00A56C24">
              <w:t>Strength</w:t>
            </w:r>
            <w:proofErr w:type="spellEnd"/>
            <w:r w:rsidRPr="00A56C24">
              <w:t xml:space="preserve"> (MPa)</w:t>
            </w:r>
          </w:p>
        </w:tc>
        <w:tc>
          <w:tcPr>
            <w:tcW w:w="1873" w:type="dxa"/>
          </w:tcPr>
          <w:p w14:paraId="47E7CE7F" w14:textId="108DABCC" w:rsidR="00CE1873" w:rsidRDefault="00CE1873" w:rsidP="00CE1873">
            <w:pPr>
              <w:spacing w:line="276" w:lineRule="auto"/>
              <w:jc w:val="center"/>
            </w:pPr>
            <w:proofErr w:type="spellStart"/>
            <w:r w:rsidRPr="00A56C24">
              <w:t>Shore</w:t>
            </w:r>
            <w:proofErr w:type="spellEnd"/>
            <w:r w:rsidRPr="00A56C24">
              <w:t xml:space="preserve"> A </w:t>
            </w:r>
            <w:proofErr w:type="spellStart"/>
            <w:r w:rsidRPr="00A56C24">
              <w:t>Hardness</w:t>
            </w:r>
            <w:proofErr w:type="spellEnd"/>
          </w:p>
        </w:tc>
      </w:tr>
      <w:tr w:rsidR="00CE1873" w14:paraId="35028D2C" w14:textId="22E9AF83" w:rsidTr="00CE1873">
        <w:trPr>
          <w:jc w:val="center"/>
        </w:trPr>
        <w:tc>
          <w:tcPr>
            <w:tcW w:w="1872" w:type="dxa"/>
          </w:tcPr>
          <w:p w14:paraId="69AD7C0D" w14:textId="13094F5B" w:rsidR="00CE1873" w:rsidRDefault="00CE1873" w:rsidP="00CE1873">
            <w:pPr>
              <w:spacing w:line="276" w:lineRule="auto"/>
              <w:jc w:val="center"/>
            </w:pPr>
            <w:r w:rsidRPr="00A56C24">
              <w:t>S1</w:t>
            </w:r>
          </w:p>
        </w:tc>
        <w:tc>
          <w:tcPr>
            <w:tcW w:w="1873" w:type="dxa"/>
          </w:tcPr>
          <w:p w14:paraId="3F7CE24D" w14:textId="1F3B1CE4" w:rsidR="00CE1873" w:rsidRDefault="00CE1873" w:rsidP="00CE1873">
            <w:pPr>
              <w:spacing w:line="276" w:lineRule="auto"/>
              <w:jc w:val="center"/>
            </w:pPr>
            <w:r w:rsidRPr="00A56C24">
              <w:t>2.69 ± 0.05</w:t>
            </w:r>
          </w:p>
        </w:tc>
        <w:tc>
          <w:tcPr>
            <w:tcW w:w="1873" w:type="dxa"/>
          </w:tcPr>
          <w:p w14:paraId="79FEF21A" w14:textId="39D02521" w:rsidR="00CE1873" w:rsidRDefault="00CE1873" w:rsidP="00CE1873">
            <w:pPr>
              <w:spacing w:line="276" w:lineRule="auto"/>
              <w:jc w:val="center"/>
            </w:pPr>
            <w:r w:rsidRPr="00A56C24">
              <w:t>63 ± 2</w:t>
            </w:r>
          </w:p>
        </w:tc>
      </w:tr>
      <w:tr w:rsidR="00CE1873" w14:paraId="68106A3A" w14:textId="449AD485" w:rsidTr="00CE1873">
        <w:trPr>
          <w:jc w:val="center"/>
        </w:trPr>
        <w:tc>
          <w:tcPr>
            <w:tcW w:w="1872" w:type="dxa"/>
          </w:tcPr>
          <w:p w14:paraId="3DEEABB9" w14:textId="3E724EF9" w:rsidR="00CE1873" w:rsidRDefault="00CE1873" w:rsidP="00CE1873">
            <w:pPr>
              <w:tabs>
                <w:tab w:val="left" w:pos="198"/>
              </w:tabs>
              <w:spacing w:line="276" w:lineRule="auto"/>
              <w:jc w:val="center"/>
            </w:pPr>
            <w:r w:rsidRPr="00A56C24">
              <w:t>S2</w:t>
            </w:r>
          </w:p>
        </w:tc>
        <w:tc>
          <w:tcPr>
            <w:tcW w:w="1873" w:type="dxa"/>
          </w:tcPr>
          <w:p w14:paraId="083EB0C7" w14:textId="0CFF53F2" w:rsidR="00CE1873" w:rsidRDefault="00CE1873" w:rsidP="00CE1873">
            <w:pPr>
              <w:tabs>
                <w:tab w:val="left" w:pos="198"/>
              </w:tabs>
              <w:spacing w:line="276" w:lineRule="auto"/>
              <w:jc w:val="center"/>
            </w:pPr>
            <w:r w:rsidRPr="00A56C24">
              <w:t>2.36 ± 0.06</w:t>
            </w:r>
          </w:p>
        </w:tc>
        <w:tc>
          <w:tcPr>
            <w:tcW w:w="1873" w:type="dxa"/>
          </w:tcPr>
          <w:p w14:paraId="02D7BC93" w14:textId="3A4423EF" w:rsidR="00CE1873" w:rsidRDefault="00CE1873" w:rsidP="00CE1873">
            <w:pPr>
              <w:tabs>
                <w:tab w:val="left" w:pos="198"/>
              </w:tabs>
              <w:spacing w:line="276" w:lineRule="auto"/>
              <w:jc w:val="center"/>
            </w:pPr>
            <w:r w:rsidRPr="00A56C24">
              <w:t>60 ± 2</w:t>
            </w:r>
          </w:p>
        </w:tc>
      </w:tr>
      <w:tr w:rsidR="00CE1873" w14:paraId="0BF8313A" w14:textId="296A071B" w:rsidTr="00CE1873">
        <w:trPr>
          <w:jc w:val="center"/>
        </w:trPr>
        <w:tc>
          <w:tcPr>
            <w:tcW w:w="1872" w:type="dxa"/>
          </w:tcPr>
          <w:p w14:paraId="58C82C27" w14:textId="60B6D94C" w:rsidR="00CE1873" w:rsidRDefault="00CE1873" w:rsidP="00CE1873">
            <w:pPr>
              <w:tabs>
                <w:tab w:val="left" w:pos="198"/>
              </w:tabs>
              <w:spacing w:line="276" w:lineRule="auto"/>
              <w:jc w:val="center"/>
            </w:pPr>
            <w:r w:rsidRPr="00A56C24">
              <w:t>S3</w:t>
            </w:r>
          </w:p>
        </w:tc>
        <w:tc>
          <w:tcPr>
            <w:tcW w:w="1873" w:type="dxa"/>
          </w:tcPr>
          <w:p w14:paraId="1252C264" w14:textId="63299BA4" w:rsidR="00CE1873" w:rsidRDefault="00CE1873" w:rsidP="00CE1873">
            <w:pPr>
              <w:tabs>
                <w:tab w:val="left" w:pos="198"/>
              </w:tabs>
              <w:spacing w:line="276" w:lineRule="auto"/>
              <w:jc w:val="center"/>
            </w:pPr>
            <w:r w:rsidRPr="00A56C24">
              <w:t>1.53 ± 0.07</w:t>
            </w:r>
          </w:p>
        </w:tc>
        <w:tc>
          <w:tcPr>
            <w:tcW w:w="1873" w:type="dxa"/>
          </w:tcPr>
          <w:p w14:paraId="639F5706" w14:textId="4E44DEA9" w:rsidR="00CE1873" w:rsidRDefault="00CE1873" w:rsidP="00CE1873">
            <w:pPr>
              <w:tabs>
                <w:tab w:val="left" w:pos="198"/>
              </w:tabs>
              <w:spacing w:line="276" w:lineRule="auto"/>
              <w:jc w:val="center"/>
              <w:rPr>
                <w:lang w:val="en-US"/>
              </w:rPr>
            </w:pPr>
            <w:r w:rsidRPr="00A56C24">
              <w:t>57 ± 3</w:t>
            </w:r>
          </w:p>
        </w:tc>
      </w:tr>
      <w:tr w:rsidR="00CE1873" w14:paraId="55FC00B2" w14:textId="72DA6535" w:rsidTr="00CE1873">
        <w:trPr>
          <w:jc w:val="center"/>
        </w:trPr>
        <w:tc>
          <w:tcPr>
            <w:tcW w:w="1872" w:type="dxa"/>
          </w:tcPr>
          <w:p w14:paraId="4B8528B4" w14:textId="0F6F83EC" w:rsidR="00CE1873" w:rsidRDefault="00CE1873" w:rsidP="00CE1873">
            <w:pPr>
              <w:tabs>
                <w:tab w:val="left" w:pos="198"/>
              </w:tabs>
              <w:spacing w:line="276" w:lineRule="auto"/>
              <w:jc w:val="center"/>
            </w:pPr>
            <w:r w:rsidRPr="00A56C24">
              <w:t>REF</w:t>
            </w:r>
          </w:p>
        </w:tc>
        <w:tc>
          <w:tcPr>
            <w:tcW w:w="1873" w:type="dxa"/>
          </w:tcPr>
          <w:p w14:paraId="4E7768CB" w14:textId="4E41A6AF" w:rsidR="00CE1873" w:rsidRDefault="00CE1873" w:rsidP="00CE1873">
            <w:pPr>
              <w:tabs>
                <w:tab w:val="left" w:pos="198"/>
              </w:tabs>
              <w:spacing w:line="276" w:lineRule="auto"/>
              <w:jc w:val="center"/>
            </w:pPr>
            <w:r w:rsidRPr="00A56C24">
              <w:t>1.10 ± 0.04</w:t>
            </w:r>
          </w:p>
        </w:tc>
        <w:tc>
          <w:tcPr>
            <w:tcW w:w="1873" w:type="dxa"/>
          </w:tcPr>
          <w:p w14:paraId="3F698EE6" w14:textId="47A4684E" w:rsidR="00CE1873" w:rsidRDefault="00CE1873" w:rsidP="00CE1873">
            <w:pPr>
              <w:tabs>
                <w:tab w:val="left" w:pos="198"/>
              </w:tabs>
              <w:spacing w:line="276" w:lineRule="auto"/>
              <w:jc w:val="center"/>
              <w:rPr>
                <w:lang w:val="en-US"/>
              </w:rPr>
            </w:pPr>
            <w:r w:rsidRPr="00A56C24">
              <w:t>50 ± 2</w:t>
            </w:r>
          </w:p>
        </w:tc>
      </w:tr>
    </w:tbl>
    <w:p w14:paraId="225751A6" w14:textId="77777777" w:rsidR="00021434" w:rsidRPr="008B7E21" w:rsidRDefault="00021434" w:rsidP="00021434">
      <w:pPr>
        <w:spacing w:before="120" w:line="276" w:lineRule="auto"/>
        <w:ind w:firstLine="567"/>
        <w:jc w:val="both"/>
        <w:rPr>
          <w:lang w:val="en-US"/>
        </w:rPr>
      </w:pPr>
      <w:r w:rsidRPr="008B7E21">
        <w:rPr>
          <w:lang w:val="en-US"/>
        </w:rPr>
        <w:t>The FTIR spectra confirmed the presence of characteristic functional groups from both PVA and keratin, indicating successful integration within the latex matrix. Prominent peaks corresponding to hydroxyl groups from PVA (3200–3400 cm⁻¹) and amide groups from keratin (1650 cm⁻¹ for amide I and 1540 cm⁻¹ for amide II) were observed. These interactions suggest the formation of hydrogen bonds between PVA and keratin, contributing to the enhanced mechanical stability and cohesive strength of the composites.</w:t>
      </w:r>
    </w:p>
    <w:p w14:paraId="0AE42114" w14:textId="77777777" w:rsidR="00021434" w:rsidRPr="008B7E21" w:rsidRDefault="00021434" w:rsidP="00021434">
      <w:pPr>
        <w:spacing w:line="276" w:lineRule="auto"/>
        <w:ind w:firstLine="567"/>
        <w:jc w:val="both"/>
        <w:rPr>
          <w:lang w:val="en-US"/>
        </w:rPr>
      </w:pPr>
      <w:r w:rsidRPr="008B7E21">
        <w:rPr>
          <w:lang w:val="en-US"/>
        </w:rPr>
        <w:t>SEM images provided further insights into the microstructural properties of the composites. Keratin particles were well-dispersed within the latex matrix, forming a uniform and continuous composite structure. The addition of PVA hydrogel resulted in a smoother surface morphology, beneficial for applications requiring barrier properties, such as packaging materials. In contrast, the REF sample displayed a relatively rougher surface, lacking the homogeneous texture observed in the modified composites, which may limit its performance in moisture-sensitive environments.</w:t>
      </w:r>
    </w:p>
    <w:p w14:paraId="6CD5B296" w14:textId="77777777" w:rsidR="00021434" w:rsidRPr="008B7E21" w:rsidRDefault="00021434" w:rsidP="00021434">
      <w:pPr>
        <w:spacing w:line="276" w:lineRule="auto"/>
        <w:ind w:firstLine="567"/>
        <w:jc w:val="both"/>
        <w:rPr>
          <w:lang w:val="en-US"/>
        </w:rPr>
      </w:pPr>
      <w:r w:rsidRPr="008B7E21">
        <w:rPr>
          <w:lang w:val="en-US"/>
        </w:rPr>
        <w:t>Thermogravimetric analysis (TGA) indicated that the composites exhibited improved thermal stability compared to pure latex films. The onset degradation temperature increased by approximately 15°C in sample S1, highlighting the thermal stabilizing effect of keratin. This enhancement is likely due to keratin’s robust molecular structure, which provides resistance to thermal degradation, thereby extending the material’s thermal tolerance range.</w:t>
      </w:r>
    </w:p>
    <w:p w14:paraId="5D3118C8" w14:textId="77777777" w:rsidR="00021434" w:rsidRPr="008B7E21" w:rsidRDefault="00021434" w:rsidP="00021434">
      <w:pPr>
        <w:spacing w:line="276" w:lineRule="auto"/>
        <w:ind w:firstLine="567"/>
        <w:jc w:val="both"/>
        <w:rPr>
          <w:lang w:val="en-US"/>
        </w:rPr>
      </w:pPr>
      <w:r w:rsidRPr="008B7E21">
        <w:rPr>
          <w:lang w:val="en-US"/>
        </w:rPr>
        <w:t>Water absorption tests showed that sample S3, with the highest PVA content, had the greatest water retention capacity (27%), making it highly suitable for applications in moisture-</w:t>
      </w:r>
      <w:r w:rsidRPr="008B7E21">
        <w:rPr>
          <w:lang w:val="en-US"/>
        </w:rPr>
        <w:lastRenderedPageBreak/>
        <w:t>sensitive environments. In contrast, the REF sample did not exhibit any water absorption, confirming the hydrophobic nature of pure latex and the significant hydrophilic effect introduced by PVA.</w:t>
      </w:r>
    </w:p>
    <w:p w14:paraId="464EEDE3" w14:textId="75722B57" w:rsidR="00021434" w:rsidRDefault="00021434" w:rsidP="00021434">
      <w:pPr>
        <w:spacing w:before="120" w:line="276" w:lineRule="auto"/>
        <w:jc w:val="right"/>
      </w:pPr>
      <w:proofErr w:type="spellStart"/>
      <w:r>
        <w:rPr>
          <w:i/>
        </w:rPr>
        <w:t>Table</w:t>
      </w:r>
      <w:proofErr w:type="spellEnd"/>
      <w:r>
        <w:rPr>
          <w:i/>
        </w:rPr>
        <w:t xml:space="preserve"> 1 </w:t>
      </w:r>
      <w:proofErr w:type="spellStart"/>
      <w:r w:rsidRPr="00021434">
        <w:rPr>
          <w:i/>
        </w:rPr>
        <w:t>Thermal</w:t>
      </w:r>
      <w:proofErr w:type="spellEnd"/>
      <w:r w:rsidRPr="00021434">
        <w:rPr>
          <w:i/>
        </w:rPr>
        <w:t xml:space="preserve"> </w:t>
      </w:r>
      <w:proofErr w:type="spellStart"/>
      <w:r w:rsidRPr="00021434">
        <w:rPr>
          <w:i/>
        </w:rPr>
        <w:t>and</w:t>
      </w:r>
      <w:proofErr w:type="spellEnd"/>
      <w:r w:rsidRPr="00021434">
        <w:rPr>
          <w:i/>
        </w:rPr>
        <w:t xml:space="preserve"> </w:t>
      </w:r>
      <w:proofErr w:type="spellStart"/>
      <w:r w:rsidRPr="00021434">
        <w:rPr>
          <w:i/>
        </w:rPr>
        <w:t>Moisture</w:t>
      </w:r>
      <w:proofErr w:type="spellEnd"/>
      <w:r w:rsidRPr="00021434">
        <w:rPr>
          <w:i/>
        </w:rPr>
        <w:t xml:space="preserve"> </w:t>
      </w:r>
      <w:proofErr w:type="spellStart"/>
      <w:r w:rsidRPr="00021434">
        <w:rPr>
          <w:i/>
        </w:rPr>
        <w:t>Properties</w:t>
      </w:r>
      <w:proofErr w:type="spellEnd"/>
      <w:r w:rsidRPr="00021434">
        <w:rPr>
          <w:i/>
        </w:rPr>
        <w:t xml:space="preserve"> </w:t>
      </w:r>
      <w:proofErr w:type="spellStart"/>
      <w:r w:rsidRPr="00021434">
        <w:rPr>
          <w:i/>
        </w:rPr>
        <w:t>of</w:t>
      </w:r>
      <w:proofErr w:type="spellEnd"/>
      <w:r w:rsidRPr="00021434">
        <w:rPr>
          <w:i/>
        </w:rPr>
        <w:t xml:space="preserve"> </w:t>
      </w:r>
      <w:proofErr w:type="spellStart"/>
      <w:r w:rsidRPr="00021434">
        <w:rPr>
          <w:i/>
        </w:rPr>
        <w:t>Latex</w:t>
      </w:r>
      <w:proofErr w:type="spellEnd"/>
      <w:r w:rsidRPr="00021434">
        <w:rPr>
          <w:i/>
        </w:rPr>
        <w:t xml:space="preserve"> </w:t>
      </w:r>
      <w:proofErr w:type="spellStart"/>
      <w:r w:rsidRPr="00021434">
        <w:rPr>
          <w:i/>
        </w:rPr>
        <w:t>Composites</w:t>
      </w:r>
      <w:proofErr w:type="spellEnd"/>
      <w:r w:rsidRPr="00021434">
        <w:rPr>
          <w:i/>
        </w:rPr>
        <w:t xml:space="preserve"> </w:t>
      </w:r>
      <w:proofErr w:type="spellStart"/>
      <w:r w:rsidRPr="00021434">
        <w:rPr>
          <w:i/>
        </w:rPr>
        <w:t>and</w:t>
      </w:r>
      <w:proofErr w:type="spellEnd"/>
      <w:r w:rsidRPr="00021434">
        <w:rPr>
          <w:i/>
        </w:rPr>
        <w:t xml:space="preserve"> </w:t>
      </w:r>
      <w:proofErr w:type="spellStart"/>
      <w:r w:rsidRPr="00021434">
        <w:rPr>
          <w:i/>
        </w:rPr>
        <w:t>Reference</w:t>
      </w:r>
      <w:proofErr w:type="spellEnd"/>
      <w:r w:rsidRPr="00021434">
        <w:rPr>
          <w:i/>
        </w:rPr>
        <w:t xml:space="preserve"> </w:t>
      </w:r>
      <w:proofErr w:type="spellStart"/>
      <w:r w:rsidRPr="00021434">
        <w:rPr>
          <w:i/>
        </w:rPr>
        <w:t>Sample</w:t>
      </w:r>
      <w:proofErr w:type="spellEnd"/>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494"/>
        <w:gridCol w:w="2494"/>
        <w:gridCol w:w="2494"/>
      </w:tblGrid>
      <w:tr w:rsidR="00021434" w14:paraId="481491F8" w14:textId="77777777" w:rsidTr="00021434">
        <w:trPr>
          <w:jc w:val="center"/>
        </w:trPr>
        <w:tc>
          <w:tcPr>
            <w:tcW w:w="2494" w:type="dxa"/>
            <w:vAlign w:val="center"/>
          </w:tcPr>
          <w:p w14:paraId="5D08FDE5" w14:textId="77777777" w:rsidR="00021434" w:rsidRDefault="00021434" w:rsidP="00021434">
            <w:pPr>
              <w:spacing w:line="276" w:lineRule="auto"/>
              <w:jc w:val="center"/>
            </w:pPr>
            <w:proofErr w:type="spellStart"/>
            <w:r w:rsidRPr="00A56C24">
              <w:t>Sample</w:t>
            </w:r>
            <w:proofErr w:type="spellEnd"/>
            <w:r w:rsidRPr="00A56C24">
              <w:t xml:space="preserve"> ID</w:t>
            </w:r>
          </w:p>
        </w:tc>
        <w:tc>
          <w:tcPr>
            <w:tcW w:w="2494" w:type="dxa"/>
          </w:tcPr>
          <w:p w14:paraId="3D0131A1" w14:textId="666E77E7" w:rsidR="00021434" w:rsidRDefault="00021434" w:rsidP="00021434">
            <w:pPr>
              <w:spacing w:line="276" w:lineRule="auto"/>
              <w:jc w:val="center"/>
            </w:pPr>
            <w:proofErr w:type="spellStart"/>
            <w:r w:rsidRPr="00506211">
              <w:t>Onset</w:t>
            </w:r>
            <w:proofErr w:type="spellEnd"/>
            <w:r w:rsidRPr="00506211">
              <w:t xml:space="preserve"> </w:t>
            </w:r>
            <w:proofErr w:type="spellStart"/>
            <w:r w:rsidRPr="00506211">
              <w:t>Degradation</w:t>
            </w:r>
            <w:proofErr w:type="spellEnd"/>
            <w:r w:rsidRPr="00506211">
              <w:t xml:space="preserve"> </w:t>
            </w:r>
            <w:proofErr w:type="spellStart"/>
            <w:r w:rsidRPr="00506211">
              <w:t>Temperature</w:t>
            </w:r>
            <w:proofErr w:type="spellEnd"/>
            <w:r w:rsidRPr="00506211">
              <w:t xml:space="preserve"> (°C)</w:t>
            </w:r>
          </w:p>
        </w:tc>
        <w:tc>
          <w:tcPr>
            <w:tcW w:w="2494" w:type="dxa"/>
          </w:tcPr>
          <w:p w14:paraId="71D9B57E" w14:textId="501D8F4C" w:rsidR="00021434" w:rsidRDefault="00021434" w:rsidP="00021434">
            <w:pPr>
              <w:spacing w:line="276" w:lineRule="auto"/>
              <w:jc w:val="center"/>
            </w:pPr>
            <w:proofErr w:type="spellStart"/>
            <w:r w:rsidRPr="00506211">
              <w:t>Water</w:t>
            </w:r>
            <w:proofErr w:type="spellEnd"/>
            <w:r w:rsidRPr="00506211">
              <w:t xml:space="preserve"> </w:t>
            </w:r>
            <w:proofErr w:type="spellStart"/>
            <w:r w:rsidRPr="00506211">
              <w:t>Absorption</w:t>
            </w:r>
            <w:proofErr w:type="spellEnd"/>
            <w:r w:rsidRPr="00506211">
              <w:t xml:space="preserve"> (%)</w:t>
            </w:r>
          </w:p>
        </w:tc>
      </w:tr>
      <w:tr w:rsidR="00021434" w14:paraId="3260FA0A" w14:textId="77777777" w:rsidTr="00021434">
        <w:trPr>
          <w:jc w:val="center"/>
        </w:trPr>
        <w:tc>
          <w:tcPr>
            <w:tcW w:w="2494" w:type="dxa"/>
          </w:tcPr>
          <w:p w14:paraId="58309FD9" w14:textId="77777777" w:rsidR="00021434" w:rsidRDefault="00021434" w:rsidP="00021434">
            <w:pPr>
              <w:spacing w:line="276" w:lineRule="auto"/>
              <w:jc w:val="center"/>
            </w:pPr>
            <w:r w:rsidRPr="00A56C24">
              <w:t>S1</w:t>
            </w:r>
          </w:p>
        </w:tc>
        <w:tc>
          <w:tcPr>
            <w:tcW w:w="2494" w:type="dxa"/>
          </w:tcPr>
          <w:p w14:paraId="5C712FFB" w14:textId="75808BEE" w:rsidR="00021434" w:rsidRDefault="00021434" w:rsidP="00021434">
            <w:pPr>
              <w:spacing w:line="276" w:lineRule="auto"/>
              <w:jc w:val="center"/>
            </w:pPr>
            <w:r w:rsidRPr="00506211">
              <w:t>245 ± 3</w:t>
            </w:r>
          </w:p>
        </w:tc>
        <w:tc>
          <w:tcPr>
            <w:tcW w:w="2494" w:type="dxa"/>
          </w:tcPr>
          <w:p w14:paraId="7D4A9C74" w14:textId="12B8EF37" w:rsidR="00021434" w:rsidRDefault="00021434" w:rsidP="00021434">
            <w:pPr>
              <w:spacing w:line="276" w:lineRule="auto"/>
              <w:jc w:val="center"/>
            </w:pPr>
            <w:r w:rsidRPr="00506211">
              <w:t>18 ± 0.9</w:t>
            </w:r>
          </w:p>
        </w:tc>
      </w:tr>
      <w:tr w:rsidR="00021434" w14:paraId="01126F8C" w14:textId="77777777" w:rsidTr="00021434">
        <w:trPr>
          <w:jc w:val="center"/>
        </w:trPr>
        <w:tc>
          <w:tcPr>
            <w:tcW w:w="2494" w:type="dxa"/>
          </w:tcPr>
          <w:p w14:paraId="4D651AB0" w14:textId="77777777" w:rsidR="00021434" w:rsidRDefault="00021434" w:rsidP="00021434">
            <w:pPr>
              <w:tabs>
                <w:tab w:val="left" w:pos="198"/>
              </w:tabs>
              <w:spacing w:line="276" w:lineRule="auto"/>
              <w:jc w:val="center"/>
            </w:pPr>
            <w:r w:rsidRPr="00A56C24">
              <w:t>S2</w:t>
            </w:r>
          </w:p>
        </w:tc>
        <w:tc>
          <w:tcPr>
            <w:tcW w:w="2494" w:type="dxa"/>
          </w:tcPr>
          <w:p w14:paraId="3ABDAF99" w14:textId="1AB367D7" w:rsidR="00021434" w:rsidRDefault="00021434" w:rsidP="00021434">
            <w:pPr>
              <w:tabs>
                <w:tab w:val="left" w:pos="198"/>
              </w:tabs>
              <w:spacing w:line="276" w:lineRule="auto"/>
              <w:jc w:val="center"/>
            </w:pPr>
            <w:r w:rsidRPr="00506211">
              <w:t>240 ± 4</w:t>
            </w:r>
          </w:p>
        </w:tc>
        <w:tc>
          <w:tcPr>
            <w:tcW w:w="2494" w:type="dxa"/>
          </w:tcPr>
          <w:p w14:paraId="1A065C5F" w14:textId="6C67D3D2" w:rsidR="00021434" w:rsidRDefault="00021434" w:rsidP="00021434">
            <w:pPr>
              <w:tabs>
                <w:tab w:val="left" w:pos="198"/>
              </w:tabs>
              <w:spacing w:line="276" w:lineRule="auto"/>
              <w:jc w:val="center"/>
            </w:pPr>
            <w:r w:rsidRPr="00506211">
              <w:t>22 ± 1.0</w:t>
            </w:r>
          </w:p>
        </w:tc>
      </w:tr>
      <w:tr w:rsidR="00021434" w14:paraId="5D2792C5" w14:textId="77777777" w:rsidTr="00021434">
        <w:trPr>
          <w:jc w:val="center"/>
        </w:trPr>
        <w:tc>
          <w:tcPr>
            <w:tcW w:w="2494" w:type="dxa"/>
          </w:tcPr>
          <w:p w14:paraId="3B4E08D4" w14:textId="77777777" w:rsidR="00021434" w:rsidRDefault="00021434" w:rsidP="00021434">
            <w:pPr>
              <w:tabs>
                <w:tab w:val="left" w:pos="198"/>
              </w:tabs>
              <w:spacing w:line="276" w:lineRule="auto"/>
              <w:jc w:val="center"/>
            </w:pPr>
            <w:r w:rsidRPr="00A56C24">
              <w:t>S3</w:t>
            </w:r>
          </w:p>
        </w:tc>
        <w:tc>
          <w:tcPr>
            <w:tcW w:w="2494" w:type="dxa"/>
          </w:tcPr>
          <w:p w14:paraId="3BB584FC" w14:textId="406C6FAF" w:rsidR="00021434" w:rsidRDefault="00021434" w:rsidP="00021434">
            <w:pPr>
              <w:tabs>
                <w:tab w:val="left" w:pos="198"/>
              </w:tabs>
              <w:spacing w:line="276" w:lineRule="auto"/>
              <w:jc w:val="center"/>
            </w:pPr>
            <w:r w:rsidRPr="00506211">
              <w:t>235 ± 5</w:t>
            </w:r>
          </w:p>
        </w:tc>
        <w:tc>
          <w:tcPr>
            <w:tcW w:w="2494" w:type="dxa"/>
          </w:tcPr>
          <w:p w14:paraId="3DBB7FEE" w14:textId="37343954" w:rsidR="00021434" w:rsidRDefault="00021434" w:rsidP="00021434">
            <w:pPr>
              <w:tabs>
                <w:tab w:val="left" w:pos="198"/>
              </w:tabs>
              <w:spacing w:line="276" w:lineRule="auto"/>
              <w:jc w:val="center"/>
              <w:rPr>
                <w:lang w:val="en-US"/>
              </w:rPr>
            </w:pPr>
            <w:r w:rsidRPr="00506211">
              <w:t>27 ± 1.2</w:t>
            </w:r>
          </w:p>
        </w:tc>
      </w:tr>
      <w:tr w:rsidR="00021434" w14:paraId="51FD5C75" w14:textId="77777777" w:rsidTr="00021434">
        <w:trPr>
          <w:jc w:val="center"/>
        </w:trPr>
        <w:tc>
          <w:tcPr>
            <w:tcW w:w="2494" w:type="dxa"/>
          </w:tcPr>
          <w:p w14:paraId="52366A14" w14:textId="77777777" w:rsidR="00021434" w:rsidRDefault="00021434" w:rsidP="00021434">
            <w:pPr>
              <w:tabs>
                <w:tab w:val="left" w:pos="198"/>
              </w:tabs>
              <w:spacing w:line="276" w:lineRule="auto"/>
              <w:jc w:val="center"/>
            </w:pPr>
            <w:r w:rsidRPr="00A56C24">
              <w:t>REF</w:t>
            </w:r>
          </w:p>
        </w:tc>
        <w:tc>
          <w:tcPr>
            <w:tcW w:w="2494" w:type="dxa"/>
          </w:tcPr>
          <w:p w14:paraId="0C906B4B" w14:textId="284CF761" w:rsidR="00021434" w:rsidRDefault="00021434" w:rsidP="00021434">
            <w:pPr>
              <w:tabs>
                <w:tab w:val="left" w:pos="198"/>
              </w:tabs>
              <w:spacing w:line="276" w:lineRule="auto"/>
              <w:jc w:val="center"/>
            </w:pPr>
            <w:r w:rsidRPr="00506211">
              <w:t>220 ± 2</w:t>
            </w:r>
          </w:p>
        </w:tc>
        <w:tc>
          <w:tcPr>
            <w:tcW w:w="2494" w:type="dxa"/>
          </w:tcPr>
          <w:p w14:paraId="1B70D08C" w14:textId="3F1CD4E3" w:rsidR="00021434" w:rsidRDefault="00021434" w:rsidP="00021434">
            <w:pPr>
              <w:tabs>
                <w:tab w:val="left" w:pos="198"/>
              </w:tabs>
              <w:spacing w:line="276" w:lineRule="auto"/>
              <w:jc w:val="center"/>
              <w:rPr>
                <w:lang w:val="en-US"/>
              </w:rPr>
            </w:pPr>
            <w:r w:rsidRPr="00506211">
              <w:t>0 (</w:t>
            </w:r>
            <w:proofErr w:type="spellStart"/>
            <w:r w:rsidRPr="00506211">
              <w:t>hydrophobic</w:t>
            </w:r>
            <w:proofErr w:type="spellEnd"/>
            <w:r w:rsidRPr="00506211">
              <w:t>)</w:t>
            </w:r>
          </w:p>
        </w:tc>
      </w:tr>
    </w:tbl>
    <w:p w14:paraId="0637B63F" w14:textId="3B287946" w:rsidR="00021434" w:rsidRDefault="00021434">
      <w:pPr>
        <w:tabs>
          <w:tab w:val="left" w:pos="198"/>
        </w:tabs>
        <w:spacing w:before="120" w:line="276" w:lineRule="auto"/>
        <w:ind w:firstLine="567"/>
        <w:jc w:val="both"/>
        <w:rPr>
          <w:lang w:val="en-US"/>
        </w:rPr>
      </w:pPr>
      <w:r w:rsidRPr="00021434">
        <w:rPr>
          <w:lang w:val="en-US"/>
        </w:rPr>
        <w:t>In comparison to the REF sample (pure latex film), the composites demonstrated significant improvements in tensile strength, hardness, thermal stability, and water retention. These results confirm the effectiveness of PVA and keratin as multifunctional reinforcing agents in enhancing the performance of latex composites. The study suggests that optimizing the ratio of PVA to keratin can tailor the mechanical, thermal, and moisture properties of these composites, making them suitable for diverse applications, including biodegradable packaging, agricultural films, and biomedical materials.</w:t>
      </w:r>
    </w:p>
    <w:p w14:paraId="55A05944" w14:textId="77777777" w:rsidR="00FD2540" w:rsidRDefault="00315272">
      <w:pPr>
        <w:spacing w:before="120" w:after="120"/>
        <w:jc w:val="center"/>
        <w:rPr>
          <w:b/>
          <w:lang w:val="en-US"/>
        </w:rPr>
      </w:pPr>
      <w:proofErr w:type="spellStart"/>
      <w:r>
        <w:rPr>
          <w:b/>
        </w:rPr>
        <w:t>Conclusion</w:t>
      </w:r>
      <w:proofErr w:type="spellEnd"/>
      <w:r>
        <w:rPr>
          <w:b/>
          <w:lang w:val="en-US"/>
        </w:rPr>
        <w:t>s</w:t>
      </w:r>
    </w:p>
    <w:p w14:paraId="3C915102" w14:textId="77777777" w:rsidR="00021434" w:rsidRPr="00021434" w:rsidRDefault="00021434" w:rsidP="00021434">
      <w:pPr>
        <w:tabs>
          <w:tab w:val="left" w:pos="198"/>
        </w:tabs>
        <w:spacing w:line="276" w:lineRule="auto"/>
        <w:ind w:firstLine="567"/>
        <w:jc w:val="both"/>
        <w:rPr>
          <w:lang w:val="en-GB"/>
        </w:rPr>
      </w:pPr>
      <w:r w:rsidRPr="00021434">
        <w:rPr>
          <w:lang w:val="en-GB"/>
        </w:rPr>
        <w:t xml:space="preserve">The results of this study clearly demonstrate the potential of combining latex, PVA hydrogel, and keratin to create biodegradable composites with tailored mechanical and thermal properties. The synergistic effect of PVA's hydrophilicity and keratin's structural reinforcement resulted in composites with enhanced tensile strength, improved thermal stability, and superior water absorption capabilities. These materials exhibited significant improvements over pure latex films, highlighting their suitability for applications in agriculture, packaging, and biodegradable films where mechanical durability, thermal stability, and environmental compatibility are essential. In agricultural applications, such composites could serve as biodegradable mulching films, offering both mechanical protection and moisture retention while decomposing naturally after use. </w:t>
      </w:r>
    </w:p>
    <w:p w14:paraId="7E5011B9" w14:textId="2DDD9644" w:rsidR="00021434" w:rsidRPr="00021434" w:rsidRDefault="00021434" w:rsidP="00021434">
      <w:pPr>
        <w:tabs>
          <w:tab w:val="left" w:pos="198"/>
        </w:tabs>
        <w:spacing w:line="276" w:lineRule="auto"/>
        <w:ind w:firstLine="567"/>
        <w:jc w:val="both"/>
        <w:rPr>
          <w:lang w:val="en-GB"/>
        </w:rPr>
      </w:pPr>
      <w:r w:rsidRPr="00021434">
        <w:rPr>
          <w:lang w:val="en-GB"/>
        </w:rPr>
        <w:t>Further studies will also evaluate the barrier properties of these composites against gases and moisture, which are critical for packaging applications. The development of these latex-based composites with PVA hydrogel and keratin not only contributes to the advancement of sustainable materials but also opens new avenues for environmentally friendly solutions across multiple industries. The continued optimization of these materials will be pivotal in addressing global sustainability challenges.</w:t>
      </w:r>
    </w:p>
    <w:p w14:paraId="2629FA34" w14:textId="152B7493" w:rsidR="00FD2540" w:rsidRDefault="00315272">
      <w:pPr>
        <w:spacing w:before="120" w:after="120"/>
        <w:jc w:val="center"/>
        <w:rPr>
          <w:b/>
          <w:lang w:val="en-US"/>
        </w:rPr>
      </w:pPr>
      <w:proofErr w:type="spellStart"/>
      <w:r>
        <w:rPr>
          <w:b/>
        </w:rPr>
        <w:t>References</w:t>
      </w:r>
      <w:proofErr w:type="spellEnd"/>
      <w:r>
        <w:rPr>
          <w:b/>
          <w:lang w:val="en-US"/>
        </w:rPr>
        <w:t xml:space="preserve"> </w:t>
      </w:r>
    </w:p>
    <w:p w14:paraId="2E294C97" w14:textId="293716F5" w:rsidR="00021434" w:rsidRPr="00021434" w:rsidRDefault="00021434" w:rsidP="00021434">
      <w:pPr>
        <w:spacing w:line="276" w:lineRule="auto"/>
        <w:ind w:left="567" w:hanging="567"/>
        <w:jc w:val="both"/>
        <w:rPr>
          <w:lang w:val="en-US"/>
        </w:rPr>
      </w:pPr>
      <w:r w:rsidRPr="00021434">
        <w:rPr>
          <w:lang w:val="en-US"/>
        </w:rPr>
        <w:t>[1]</w:t>
      </w:r>
      <w:r>
        <w:rPr>
          <w:lang w:val="en-US"/>
        </w:rPr>
        <w:tab/>
      </w:r>
      <w:r w:rsidRPr="00021434">
        <w:rPr>
          <w:lang w:val="en-US"/>
        </w:rPr>
        <w:t xml:space="preserve"> Ahmed, E. M. (2015). Hydrogel: Preparation, characterization, and applications: A review. Journal of Advanced Research, 6(2), 105-121</w:t>
      </w:r>
      <w:r>
        <w:rPr>
          <w:lang w:val="en-US"/>
        </w:rPr>
        <w:t xml:space="preserve">, </w:t>
      </w:r>
      <w:hyperlink r:id="rId8" w:tgtFrame="_blank" w:tooltip="Persistent link using digital object identifier" w:history="1">
        <w:r w:rsidRPr="00021434">
          <w:rPr>
            <w:rStyle w:val="Hipercze"/>
          </w:rPr>
          <w:t>https://doi.org/10.1016/j.jare.2013.07.006</w:t>
        </w:r>
      </w:hyperlink>
    </w:p>
    <w:p w14:paraId="016C0996" w14:textId="4E602972" w:rsidR="00021434" w:rsidRPr="00021434" w:rsidRDefault="00021434" w:rsidP="00021434">
      <w:pPr>
        <w:spacing w:line="276" w:lineRule="auto"/>
        <w:ind w:left="567" w:hanging="567"/>
        <w:jc w:val="both"/>
        <w:rPr>
          <w:lang w:val="en-US"/>
        </w:rPr>
      </w:pPr>
      <w:r w:rsidRPr="00021434">
        <w:rPr>
          <w:lang w:val="en-US"/>
        </w:rPr>
        <w:t xml:space="preserve">[2] </w:t>
      </w:r>
      <w:r>
        <w:rPr>
          <w:lang w:val="en-US"/>
        </w:rPr>
        <w:tab/>
      </w:r>
      <w:proofErr w:type="spellStart"/>
      <w:r w:rsidRPr="00021434">
        <w:rPr>
          <w:lang w:val="en-US"/>
        </w:rPr>
        <w:t>Sionkowska</w:t>
      </w:r>
      <w:proofErr w:type="spellEnd"/>
      <w:r w:rsidRPr="00021434">
        <w:rPr>
          <w:lang w:val="en-US"/>
        </w:rPr>
        <w:t xml:space="preserve">, A., </w:t>
      </w:r>
      <w:proofErr w:type="spellStart"/>
      <w:r w:rsidRPr="00021434">
        <w:rPr>
          <w:lang w:val="en-US"/>
        </w:rPr>
        <w:t>Skopińska</w:t>
      </w:r>
      <w:proofErr w:type="spellEnd"/>
      <w:r w:rsidRPr="00021434">
        <w:rPr>
          <w:lang w:val="en-US"/>
        </w:rPr>
        <w:t>, J., &amp; Wisniewski, M. (2004). Photochemical stability of collagen/poly (vinyl alcohol) blends. Polymer degradation and stability, 83(1), 117-125</w:t>
      </w:r>
      <w:r>
        <w:rPr>
          <w:lang w:val="en-US"/>
        </w:rPr>
        <w:t xml:space="preserve">, </w:t>
      </w:r>
      <w:hyperlink r:id="rId9" w:tgtFrame="_blank" w:tooltip="Persistent link using digital object identifier" w:history="1">
        <w:r w:rsidRPr="00021434">
          <w:rPr>
            <w:rStyle w:val="Hipercze"/>
          </w:rPr>
          <w:t>https://doi.org/10.1016/S0141-3910(03)00232-5</w:t>
        </w:r>
      </w:hyperlink>
    </w:p>
    <w:p w14:paraId="28B872F8" w14:textId="05B2AEF2" w:rsidR="00021434" w:rsidRPr="00021434" w:rsidRDefault="00021434" w:rsidP="00021434">
      <w:pPr>
        <w:spacing w:line="276" w:lineRule="auto"/>
        <w:ind w:left="567" w:hanging="567"/>
        <w:jc w:val="both"/>
        <w:rPr>
          <w:lang w:val="en-US"/>
        </w:rPr>
      </w:pPr>
      <w:r w:rsidRPr="00021434">
        <w:rPr>
          <w:lang w:val="en-US"/>
        </w:rPr>
        <w:t xml:space="preserve">[3] </w:t>
      </w:r>
      <w:r>
        <w:rPr>
          <w:lang w:val="en-US"/>
        </w:rPr>
        <w:tab/>
      </w:r>
      <w:r w:rsidRPr="00021434">
        <w:rPr>
          <w:lang w:val="en-US"/>
        </w:rPr>
        <w:t>Wang, B., Yang, W., McKittrick, J., &amp; Meyers, M. A. (2016). Keratin: Structure, mechanical properties, occurrence in biological organisms, and efforts at bioinspiration. Progress in Materials Science, 76, 229-318</w:t>
      </w:r>
      <w:r>
        <w:rPr>
          <w:lang w:val="en-US"/>
        </w:rPr>
        <w:t xml:space="preserve">, </w:t>
      </w:r>
      <w:hyperlink r:id="rId10" w:tgtFrame="_blank" w:tooltip="Persistent link using digital object identifier" w:history="1">
        <w:r w:rsidRPr="00021434">
          <w:rPr>
            <w:rStyle w:val="Hipercze"/>
          </w:rPr>
          <w:t>https://doi.org/10.1016/j.pmatsci.2015.06.001</w:t>
        </w:r>
      </w:hyperlink>
    </w:p>
    <w:p w14:paraId="471F65C4" w14:textId="5D0F1DAC" w:rsidR="00021434" w:rsidRPr="00021434" w:rsidRDefault="00021434" w:rsidP="00021434">
      <w:pPr>
        <w:spacing w:line="276" w:lineRule="auto"/>
        <w:ind w:left="567" w:hanging="567"/>
        <w:jc w:val="both"/>
        <w:rPr>
          <w:lang w:val="en-US"/>
        </w:rPr>
      </w:pPr>
      <w:r w:rsidRPr="00021434">
        <w:rPr>
          <w:lang w:val="en-US"/>
        </w:rPr>
        <w:lastRenderedPageBreak/>
        <w:t xml:space="preserve">[4] </w:t>
      </w:r>
      <w:r>
        <w:rPr>
          <w:lang w:val="en-US"/>
        </w:rPr>
        <w:tab/>
      </w:r>
      <w:r w:rsidRPr="00021434">
        <w:rPr>
          <w:lang w:val="en-US"/>
        </w:rPr>
        <w:t>Donato, R. K., &amp; Mija, A. (2019). Keratin Associations with Synthetic, Biosynthetic and Natural Polymers: An Extensive Review. Polymers, 12(1), 32</w:t>
      </w:r>
      <w:r>
        <w:rPr>
          <w:lang w:val="en-US"/>
        </w:rPr>
        <w:t xml:space="preserve">, </w:t>
      </w:r>
      <w:hyperlink r:id="rId11" w:history="1">
        <w:r w:rsidRPr="00021434">
          <w:rPr>
            <w:rStyle w:val="Hipercze"/>
          </w:rPr>
          <w:t>https://doi.org/10.3390/polym12010032</w:t>
        </w:r>
      </w:hyperlink>
    </w:p>
    <w:p w14:paraId="1A8FF519" w14:textId="5134754E" w:rsidR="00021434" w:rsidRPr="00021434" w:rsidRDefault="00021434" w:rsidP="00021434">
      <w:pPr>
        <w:spacing w:line="276" w:lineRule="auto"/>
        <w:ind w:left="567" w:hanging="567"/>
        <w:jc w:val="both"/>
        <w:rPr>
          <w:lang w:val="en-US"/>
        </w:rPr>
      </w:pPr>
      <w:r w:rsidRPr="00021434">
        <w:rPr>
          <w:lang w:val="en-US"/>
        </w:rPr>
        <w:t xml:space="preserve">[5] </w:t>
      </w:r>
      <w:r>
        <w:rPr>
          <w:lang w:val="en-US"/>
        </w:rPr>
        <w:tab/>
      </w:r>
      <w:r w:rsidRPr="00021434">
        <w:rPr>
          <w:lang w:val="en-US"/>
        </w:rPr>
        <w:t xml:space="preserve">Vasconcelos, A., &amp; Cavaco-Paulo, A. (2017). Keratin-Based </w:t>
      </w:r>
      <w:proofErr w:type="spellStart"/>
      <w:r w:rsidRPr="00021434">
        <w:rPr>
          <w:lang w:val="en-US"/>
        </w:rPr>
        <w:t>Biocomposites</w:t>
      </w:r>
      <w:proofErr w:type="spellEnd"/>
      <w:r w:rsidRPr="00021434">
        <w:rPr>
          <w:lang w:val="en-US"/>
        </w:rPr>
        <w:t xml:space="preserve"> Reinforced and Cross-Linked with Dual-Functional Cellulose Nanocrystals. ACS Sustainable Chemistry &amp; Engineering, 5(5), 4033-4041</w:t>
      </w:r>
      <w:r>
        <w:rPr>
          <w:lang w:val="en-US"/>
        </w:rPr>
        <w:t xml:space="preserve">, </w:t>
      </w:r>
      <w:hyperlink r:id="rId12" w:history="1">
        <w:r w:rsidRPr="00134870">
          <w:rPr>
            <w:rStyle w:val="Hipercze"/>
            <w:lang w:val="en-US"/>
          </w:rPr>
          <w:t>http://dx.doi.org/10.1021/acssuschemeng.7b00085</w:t>
        </w:r>
      </w:hyperlink>
      <w:r>
        <w:rPr>
          <w:lang w:val="en-US"/>
        </w:rPr>
        <w:t xml:space="preserve"> </w:t>
      </w:r>
    </w:p>
    <w:p w14:paraId="1FBA76A2" w14:textId="709AAE83" w:rsidR="00021434" w:rsidRPr="00021434" w:rsidRDefault="00021434" w:rsidP="00021434">
      <w:pPr>
        <w:spacing w:line="276" w:lineRule="auto"/>
        <w:ind w:left="567" w:hanging="567"/>
        <w:jc w:val="both"/>
        <w:rPr>
          <w:lang w:val="en-US"/>
        </w:rPr>
      </w:pPr>
      <w:r w:rsidRPr="00021434">
        <w:rPr>
          <w:lang w:val="en-US"/>
        </w:rPr>
        <w:t xml:space="preserve">[6] </w:t>
      </w:r>
      <w:r>
        <w:rPr>
          <w:lang w:val="en-US"/>
        </w:rPr>
        <w:tab/>
      </w:r>
      <w:r w:rsidRPr="00021434">
        <w:rPr>
          <w:lang w:val="en-US"/>
        </w:rPr>
        <w:t>Ghorbani, F., &amp; Ghasemi-Mobarakeh, L. (2022). Protein-Based Hydrogels: Promising Materials for Tissue Engineering. Polymers, 14(5), 891</w:t>
      </w:r>
      <w:r>
        <w:rPr>
          <w:lang w:val="en-US"/>
        </w:rPr>
        <w:t xml:space="preserve">, </w:t>
      </w:r>
      <w:hyperlink r:id="rId13" w:history="1">
        <w:r w:rsidRPr="00134870">
          <w:rPr>
            <w:rStyle w:val="Hipercze"/>
            <w:lang w:val="en-US"/>
          </w:rPr>
          <w:t>https://doi.org/10.3390/polym14050986</w:t>
        </w:r>
      </w:hyperlink>
      <w:r>
        <w:rPr>
          <w:lang w:val="en-US"/>
        </w:rPr>
        <w:t xml:space="preserve"> </w:t>
      </w:r>
    </w:p>
    <w:p w14:paraId="34962181" w14:textId="58484153" w:rsidR="00021434" w:rsidRDefault="00021434" w:rsidP="00021434">
      <w:pPr>
        <w:spacing w:line="276" w:lineRule="auto"/>
        <w:ind w:left="567" w:hanging="567"/>
        <w:jc w:val="both"/>
        <w:rPr>
          <w:lang w:val="en-US"/>
        </w:rPr>
      </w:pPr>
      <w:r w:rsidRPr="00021434">
        <w:rPr>
          <w:lang w:val="en-US"/>
        </w:rPr>
        <w:t xml:space="preserve">[7] </w:t>
      </w:r>
      <w:r>
        <w:rPr>
          <w:lang w:val="en-US"/>
        </w:rPr>
        <w:tab/>
      </w:r>
      <w:r w:rsidRPr="00021434">
        <w:rPr>
          <w:lang w:val="en-US"/>
        </w:rPr>
        <w:t>Guo, B., &amp; Ma, P. X. (2018). Conducting polymers for tissue engineering. Biomaterials, 35(5), 1238-1251</w:t>
      </w:r>
      <w:r w:rsidR="00560926">
        <w:rPr>
          <w:lang w:val="en-US"/>
        </w:rPr>
        <w:t xml:space="preserve">, </w:t>
      </w:r>
      <w:hyperlink r:id="rId14" w:history="1">
        <w:r w:rsidR="00560926" w:rsidRPr="00134870">
          <w:rPr>
            <w:rStyle w:val="Hipercze"/>
            <w:lang w:val="en-US"/>
          </w:rPr>
          <w:t>http://dx.doi.org/10.1021/acs.biomac.8b00276</w:t>
        </w:r>
      </w:hyperlink>
      <w:r w:rsidR="00560926">
        <w:rPr>
          <w:lang w:val="en-US"/>
        </w:rPr>
        <w:t xml:space="preserve"> </w:t>
      </w:r>
    </w:p>
    <w:sectPr w:rsidR="00021434">
      <w:headerReference w:type="even" r:id="rId15"/>
      <w:headerReference w:type="default" r:id="rId16"/>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42B83E" w14:textId="77777777" w:rsidR="00C32A31" w:rsidRDefault="00C32A31">
      <w:r>
        <w:separator/>
      </w:r>
    </w:p>
  </w:endnote>
  <w:endnote w:type="continuationSeparator" w:id="0">
    <w:p w14:paraId="24081BDF" w14:textId="77777777" w:rsidR="00C32A31" w:rsidRDefault="00C32A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UkrainianJournal">
    <w:altName w:val="Calibri"/>
    <w:charset w:val="00"/>
    <w:family w:val="swiss"/>
    <w:pitch w:val="default"/>
    <w:sig w:usb0="00000000" w:usb1="00000000" w:usb2="00000000" w:usb3="00000000" w:csb0="00000005" w:csb1="00000000"/>
  </w:font>
  <w:font w:name="Calibri">
    <w:panose1 w:val="020F0502020204030204"/>
    <w:charset w:val="EE"/>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485E56" w14:textId="77777777" w:rsidR="00C32A31" w:rsidRDefault="00C32A31">
      <w:r>
        <w:separator/>
      </w:r>
    </w:p>
  </w:footnote>
  <w:footnote w:type="continuationSeparator" w:id="0">
    <w:p w14:paraId="3733FF5F" w14:textId="77777777" w:rsidR="00C32A31" w:rsidRDefault="00C32A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8F67C8" w14:textId="77777777" w:rsidR="00FD2540" w:rsidRDefault="00315272">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248D6642" w14:textId="77777777" w:rsidR="00FD2540" w:rsidRDefault="00FD254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57CFC" w14:textId="77777777" w:rsidR="00FD2540" w:rsidRDefault="00FD2540">
    <w:pPr>
      <w:pStyle w:val="Nagwek"/>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FFFFFFB"/>
    <w:lvl w:ilvl="0">
      <w:start w:val="1"/>
      <w:numFmt w:val="upperRoman"/>
      <w:pStyle w:val="Nagwek1"/>
      <w:lvlText w:val="%1."/>
      <w:legacy w:legacy="1" w:legacySpace="0" w:legacyIndent="170"/>
      <w:lvlJc w:val="left"/>
      <w:pPr>
        <w:ind w:left="170" w:hanging="170"/>
      </w:pPr>
    </w:lvl>
    <w:lvl w:ilvl="1">
      <w:start w:val="1"/>
      <w:numFmt w:val="upperLetter"/>
      <w:pStyle w:val="Nagwek2"/>
      <w:lvlText w:val="%2."/>
      <w:legacy w:legacy="1" w:legacySpace="0" w:legacyIndent="170"/>
      <w:lvlJc w:val="left"/>
      <w:pPr>
        <w:ind w:left="142" w:hanging="170"/>
      </w:pPr>
    </w:lvl>
    <w:lvl w:ilvl="2">
      <w:start w:val="1"/>
      <w:numFmt w:val="decimal"/>
      <w:pStyle w:val="Nagwek3"/>
      <w:lvlText w:val="%3."/>
      <w:legacy w:legacy="1" w:legacySpace="0" w:legacyIndent="170"/>
      <w:lvlJc w:val="left"/>
      <w:pPr>
        <w:ind w:left="142" w:hanging="170"/>
      </w:pPr>
    </w:lvl>
    <w:lvl w:ilvl="3">
      <w:start w:val="1"/>
      <w:numFmt w:val="lowerLetter"/>
      <w:pStyle w:val="Nagwek4"/>
      <w:lvlText w:val="%4)"/>
      <w:legacy w:legacy="1" w:legacySpace="0" w:legacyIndent="708"/>
      <w:lvlJc w:val="left"/>
      <w:pPr>
        <w:ind w:left="1218" w:hanging="708"/>
      </w:pPr>
    </w:lvl>
    <w:lvl w:ilvl="4">
      <w:start w:val="1"/>
      <w:numFmt w:val="decimal"/>
      <w:pStyle w:val="Nagwek5"/>
      <w:lvlText w:val="(%5)"/>
      <w:legacy w:legacy="1" w:legacySpace="0" w:legacyIndent="708"/>
      <w:lvlJc w:val="left"/>
      <w:pPr>
        <w:ind w:left="1926" w:hanging="708"/>
      </w:pPr>
    </w:lvl>
    <w:lvl w:ilvl="5">
      <w:start w:val="1"/>
      <w:numFmt w:val="lowerLetter"/>
      <w:pStyle w:val="Nagwek6"/>
      <w:lvlText w:val="(%6)"/>
      <w:legacy w:legacy="1" w:legacySpace="0" w:legacyIndent="708"/>
      <w:lvlJc w:val="left"/>
      <w:pPr>
        <w:ind w:left="2634" w:hanging="708"/>
      </w:pPr>
    </w:lvl>
    <w:lvl w:ilvl="6">
      <w:start w:val="1"/>
      <w:numFmt w:val="lowerRoman"/>
      <w:pStyle w:val="Nagwek7"/>
      <w:lvlText w:val="(%7)"/>
      <w:legacy w:legacy="1" w:legacySpace="0" w:legacyIndent="708"/>
      <w:lvlJc w:val="left"/>
      <w:pPr>
        <w:ind w:left="3342" w:hanging="708"/>
      </w:pPr>
    </w:lvl>
    <w:lvl w:ilvl="7">
      <w:start w:val="1"/>
      <w:numFmt w:val="lowerLetter"/>
      <w:pStyle w:val="Nagwek8"/>
      <w:lvlText w:val="(%8)"/>
      <w:legacy w:legacy="1" w:legacySpace="0" w:legacyIndent="708"/>
      <w:lvlJc w:val="left"/>
      <w:pPr>
        <w:ind w:left="4050" w:hanging="708"/>
      </w:pPr>
    </w:lvl>
    <w:lvl w:ilvl="8">
      <w:start w:val="1"/>
      <w:numFmt w:val="lowerRoman"/>
      <w:pStyle w:val="Nagwek9"/>
      <w:lvlText w:val="(%9)"/>
      <w:legacy w:legacy="1" w:legacySpace="0" w:legacyIndent="708"/>
      <w:lvlJc w:val="left"/>
      <w:pPr>
        <w:ind w:left="4758" w:hanging="708"/>
      </w:pPr>
    </w:lvl>
  </w:abstractNum>
  <w:abstractNum w:abstractNumId="1"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3"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16cid:durableId="826943793">
    <w:abstractNumId w:val="0"/>
  </w:num>
  <w:num w:numId="2" w16cid:durableId="739714981">
    <w:abstractNumId w:val="4"/>
  </w:num>
  <w:num w:numId="3" w16cid:durableId="534389083">
    <w:abstractNumId w:val="3"/>
  </w:num>
  <w:num w:numId="4" w16cid:durableId="1545096727">
    <w:abstractNumId w:val="1"/>
  </w:num>
  <w:num w:numId="5" w16cid:durableId="4429250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21434"/>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D099A"/>
    <w:rsid w:val="000D515C"/>
    <w:rsid w:val="000E1C10"/>
    <w:rsid w:val="000E2853"/>
    <w:rsid w:val="000E3E99"/>
    <w:rsid w:val="000F0BB8"/>
    <w:rsid w:val="000F2F46"/>
    <w:rsid w:val="000F38C3"/>
    <w:rsid w:val="00101684"/>
    <w:rsid w:val="00103045"/>
    <w:rsid w:val="001034A0"/>
    <w:rsid w:val="00104C40"/>
    <w:rsid w:val="0010529B"/>
    <w:rsid w:val="001104BA"/>
    <w:rsid w:val="001141FD"/>
    <w:rsid w:val="00117726"/>
    <w:rsid w:val="0012050E"/>
    <w:rsid w:val="00125C64"/>
    <w:rsid w:val="001320A6"/>
    <w:rsid w:val="00136420"/>
    <w:rsid w:val="0013654C"/>
    <w:rsid w:val="00136B6A"/>
    <w:rsid w:val="0014168B"/>
    <w:rsid w:val="00144567"/>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5ADE"/>
    <w:rsid w:val="002F61CB"/>
    <w:rsid w:val="003056D9"/>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D56"/>
    <w:rsid w:val="003F300F"/>
    <w:rsid w:val="003F45F4"/>
    <w:rsid w:val="0040020B"/>
    <w:rsid w:val="004037E5"/>
    <w:rsid w:val="00410003"/>
    <w:rsid w:val="0041407E"/>
    <w:rsid w:val="00414323"/>
    <w:rsid w:val="00416644"/>
    <w:rsid w:val="00416DA1"/>
    <w:rsid w:val="0042132D"/>
    <w:rsid w:val="00423E12"/>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7FCE"/>
    <w:rsid w:val="00470461"/>
    <w:rsid w:val="004717C7"/>
    <w:rsid w:val="0047398E"/>
    <w:rsid w:val="00473A32"/>
    <w:rsid w:val="00474B17"/>
    <w:rsid w:val="00481048"/>
    <w:rsid w:val="004911B2"/>
    <w:rsid w:val="004913BA"/>
    <w:rsid w:val="004A208C"/>
    <w:rsid w:val="004A4714"/>
    <w:rsid w:val="004A4756"/>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40AFB"/>
    <w:rsid w:val="00543986"/>
    <w:rsid w:val="0055158A"/>
    <w:rsid w:val="00554EC4"/>
    <w:rsid w:val="00557638"/>
    <w:rsid w:val="00560926"/>
    <w:rsid w:val="005630D6"/>
    <w:rsid w:val="00564D37"/>
    <w:rsid w:val="005650E1"/>
    <w:rsid w:val="00566CD8"/>
    <w:rsid w:val="005674B2"/>
    <w:rsid w:val="0057234B"/>
    <w:rsid w:val="0057288E"/>
    <w:rsid w:val="00574851"/>
    <w:rsid w:val="00574C97"/>
    <w:rsid w:val="0058355B"/>
    <w:rsid w:val="005867DD"/>
    <w:rsid w:val="005871C6"/>
    <w:rsid w:val="005924C4"/>
    <w:rsid w:val="005925B4"/>
    <w:rsid w:val="005948CB"/>
    <w:rsid w:val="00595D47"/>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7284D"/>
    <w:rsid w:val="006744D0"/>
    <w:rsid w:val="00681580"/>
    <w:rsid w:val="00681597"/>
    <w:rsid w:val="00684946"/>
    <w:rsid w:val="0068782F"/>
    <w:rsid w:val="00690E96"/>
    <w:rsid w:val="006966A6"/>
    <w:rsid w:val="006A037A"/>
    <w:rsid w:val="006A378C"/>
    <w:rsid w:val="006A5351"/>
    <w:rsid w:val="006A53CD"/>
    <w:rsid w:val="006B28EA"/>
    <w:rsid w:val="006B2D32"/>
    <w:rsid w:val="006B6203"/>
    <w:rsid w:val="006B6619"/>
    <w:rsid w:val="006C36AB"/>
    <w:rsid w:val="006C74DD"/>
    <w:rsid w:val="006D2D89"/>
    <w:rsid w:val="006D69AC"/>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115D1"/>
    <w:rsid w:val="0081270E"/>
    <w:rsid w:val="00814284"/>
    <w:rsid w:val="00814AC0"/>
    <w:rsid w:val="0082314F"/>
    <w:rsid w:val="00823952"/>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B0C1E"/>
    <w:rsid w:val="008B594C"/>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7BB"/>
    <w:rsid w:val="00915F88"/>
    <w:rsid w:val="0092227C"/>
    <w:rsid w:val="00924D2F"/>
    <w:rsid w:val="0092580A"/>
    <w:rsid w:val="00931EDE"/>
    <w:rsid w:val="0093408A"/>
    <w:rsid w:val="0093568D"/>
    <w:rsid w:val="009366DA"/>
    <w:rsid w:val="0094298A"/>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7B20"/>
    <w:rsid w:val="00B37FF4"/>
    <w:rsid w:val="00B414DD"/>
    <w:rsid w:val="00B47427"/>
    <w:rsid w:val="00B516DC"/>
    <w:rsid w:val="00B55869"/>
    <w:rsid w:val="00B56274"/>
    <w:rsid w:val="00B6522C"/>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E1AA4"/>
    <w:rsid w:val="00BE4342"/>
    <w:rsid w:val="00BE5054"/>
    <w:rsid w:val="00BE6FC5"/>
    <w:rsid w:val="00BF316F"/>
    <w:rsid w:val="00BF43B8"/>
    <w:rsid w:val="00BF462F"/>
    <w:rsid w:val="00BF62AB"/>
    <w:rsid w:val="00C025EA"/>
    <w:rsid w:val="00C043E0"/>
    <w:rsid w:val="00C10652"/>
    <w:rsid w:val="00C114F8"/>
    <w:rsid w:val="00C211B0"/>
    <w:rsid w:val="00C32A31"/>
    <w:rsid w:val="00C32A49"/>
    <w:rsid w:val="00C41CC5"/>
    <w:rsid w:val="00C42581"/>
    <w:rsid w:val="00C42D33"/>
    <w:rsid w:val="00C43FDD"/>
    <w:rsid w:val="00C52F95"/>
    <w:rsid w:val="00C53C02"/>
    <w:rsid w:val="00C54E08"/>
    <w:rsid w:val="00C56CE1"/>
    <w:rsid w:val="00C56DC1"/>
    <w:rsid w:val="00C6154C"/>
    <w:rsid w:val="00C6177A"/>
    <w:rsid w:val="00C66C7F"/>
    <w:rsid w:val="00C675F0"/>
    <w:rsid w:val="00C72D31"/>
    <w:rsid w:val="00C73950"/>
    <w:rsid w:val="00C746B7"/>
    <w:rsid w:val="00C80504"/>
    <w:rsid w:val="00C92FB7"/>
    <w:rsid w:val="00C93511"/>
    <w:rsid w:val="00C97793"/>
    <w:rsid w:val="00CA181E"/>
    <w:rsid w:val="00CA1AD6"/>
    <w:rsid w:val="00CA4545"/>
    <w:rsid w:val="00CA611A"/>
    <w:rsid w:val="00CB4F8E"/>
    <w:rsid w:val="00CC1912"/>
    <w:rsid w:val="00CC3CC4"/>
    <w:rsid w:val="00CC4333"/>
    <w:rsid w:val="00CC47E3"/>
    <w:rsid w:val="00CC5828"/>
    <w:rsid w:val="00CC7ED4"/>
    <w:rsid w:val="00CD037E"/>
    <w:rsid w:val="00CD25B9"/>
    <w:rsid w:val="00CD59D1"/>
    <w:rsid w:val="00CD68B7"/>
    <w:rsid w:val="00CD792A"/>
    <w:rsid w:val="00CD7DD5"/>
    <w:rsid w:val="00CE1873"/>
    <w:rsid w:val="00CE4AF2"/>
    <w:rsid w:val="00CE4DF0"/>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230D5"/>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E623F"/>
    <w:rsid w:val="00EE7E82"/>
    <w:rsid w:val="00EF3B91"/>
    <w:rsid w:val="00F00869"/>
    <w:rsid w:val="00F12518"/>
    <w:rsid w:val="00F126E1"/>
    <w:rsid w:val="00F21190"/>
    <w:rsid w:val="00F27315"/>
    <w:rsid w:val="00F37DD1"/>
    <w:rsid w:val="00F435B5"/>
    <w:rsid w:val="00F45148"/>
    <w:rsid w:val="00F45898"/>
    <w:rsid w:val="00F53B61"/>
    <w:rsid w:val="00F57A7D"/>
    <w:rsid w:val="00F603D6"/>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4010"/>
    <w:rsid w:val="00FC4ABB"/>
    <w:rsid w:val="00FD2540"/>
    <w:rsid w:val="00FD2978"/>
    <w:rsid w:val="00FD3B2B"/>
    <w:rsid w:val="00FD4A72"/>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C97CA9"/>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qFormat="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lang w:eastAsia="en-US"/>
    </w:rPr>
  </w:style>
  <w:style w:type="paragraph" w:styleId="Nagwek1">
    <w:name w:val="heading 1"/>
    <w:basedOn w:val="Normalny"/>
    <w:next w:val="Normalny"/>
    <w:qFormat/>
    <w:pPr>
      <w:keepNext/>
      <w:numPr>
        <w:numId w:val="1"/>
      </w:numPr>
      <w:tabs>
        <w:tab w:val="left" w:pos="198"/>
      </w:tabs>
      <w:spacing w:before="240" w:after="60"/>
      <w:jc w:val="center"/>
      <w:outlineLvl w:val="0"/>
    </w:pPr>
    <w:rPr>
      <w:rFonts w:ascii="Arial" w:hAnsi="Arial"/>
      <w:kern w:val="28"/>
      <w:szCs w:val="20"/>
    </w:rPr>
  </w:style>
  <w:style w:type="paragraph" w:styleId="Nagwek2">
    <w:name w:val="heading 2"/>
    <w:basedOn w:val="Normalny"/>
    <w:next w:val="Normalny"/>
    <w:qFormat/>
    <w:pPr>
      <w:keepNext/>
      <w:numPr>
        <w:ilvl w:val="1"/>
        <w:numId w:val="1"/>
      </w:numPr>
      <w:tabs>
        <w:tab w:val="left" w:pos="198"/>
      </w:tabs>
      <w:spacing w:before="120" w:after="60"/>
      <w:jc w:val="both"/>
      <w:outlineLvl w:val="1"/>
    </w:pPr>
    <w:rPr>
      <w:rFonts w:ascii="Arial" w:hAnsi="Arial"/>
      <w:i/>
      <w:sz w:val="22"/>
      <w:szCs w:val="20"/>
    </w:rPr>
  </w:style>
  <w:style w:type="paragraph" w:styleId="Nagwek3">
    <w:name w:val="heading 3"/>
    <w:basedOn w:val="Normalny"/>
    <w:next w:val="Normalny"/>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Nagwek4">
    <w:name w:val="heading 4"/>
    <w:basedOn w:val="Normalny"/>
    <w:next w:val="Normalny"/>
    <w:qFormat/>
    <w:pPr>
      <w:keepNext/>
      <w:numPr>
        <w:ilvl w:val="3"/>
        <w:numId w:val="1"/>
      </w:numPr>
      <w:tabs>
        <w:tab w:val="left" w:pos="198"/>
      </w:tabs>
      <w:spacing w:before="240" w:after="60"/>
      <w:jc w:val="both"/>
      <w:outlineLvl w:val="3"/>
    </w:pPr>
    <w:rPr>
      <w:rFonts w:ascii="Arial" w:hAnsi="Arial"/>
      <w:b/>
      <w:szCs w:val="20"/>
      <w:lang w:val="en-GB"/>
    </w:rPr>
  </w:style>
  <w:style w:type="paragraph" w:styleId="Nagwek5">
    <w:name w:val="heading 5"/>
    <w:basedOn w:val="Normalny"/>
    <w:next w:val="Normalny"/>
    <w:qFormat/>
    <w:pPr>
      <w:numPr>
        <w:ilvl w:val="4"/>
        <w:numId w:val="1"/>
      </w:numPr>
      <w:tabs>
        <w:tab w:val="left" w:pos="198"/>
      </w:tabs>
      <w:spacing w:before="240" w:after="60"/>
      <w:jc w:val="both"/>
      <w:outlineLvl w:val="4"/>
    </w:pPr>
    <w:rPr>
      <w:rFonts w:ascii="Arial" w:hAnsi="Arial"/>
      <w:sz w:val="22"/>
      <w:szCs w:val="20"/>
      <w:lang w:val="en-GB"/>
    </w:rPr>
  </w:style>
  <w:style w:type="paragraph" w:styleId="Nagwek6">
    <w:name w:val="heading 6"/>
    <w:basedOn w:val="Normalny"/>
    <w:next w:val="Normalny"/>
    <w:qFormat/>
    <w:pPr>
      <w:numPr>
        <w:ilvl w:val="5"/>
        <w:numId w:val="1"/>
      </w:numPr>
      <w:tabs>
        <w:tab w:val="left" w:pos="198"/>
      </w:tabs>
      <w:spacing w:before="240" w:after="60"/>
      <w:jc w:val="both"/>
      <w:outlineLvl w:val="5"/>
    </w:pPr>
    <w:rPr>
      <w:i/>
      <w:sz w:val="22"/>
      <w:szCs w:val="20"/>
      <w:lang w:val="en-GB"/>
    </w:rPr>
  </w:style>
  <w:style w:type="paragraph" w:styleId="Nagwek7">
    <w:name w:val="heading 7"/>
    <w:basedOn w:val="Normalny"/>
    <w:next w:val="Normalny"/>
    <w:qFormat/>
    <w:pPr>
      <w:numPr>
        <w:ilvl w:val="6"/>
        <w:numId w:val="1"/>
      </w:numPr>
      <w:tabs>
        <w:tab w:val="left" w:pos="198"/>
      </w:tabs>
      <w:spacing w:before="240" w:after="60"/>
      <w:jc w:val="both"/>
      <w:outlineLvl w:val="6"/>
    </w:pPr>
    <w:rPr>
      <w:rFonts w:ascii="Arial" w:hAnsi="Arial"/>
      <w:sz w:val="20"/>
      <w:szCs w:val="20"/>
      <w:lang w:val="en-GB"/>
    </w:rPr>
  </w:style>
  <w:style w:type="paragraph" w:styleId="Nagwek8">
    <w:name w:val="heading 8"/>
    <w:basedOn w:val="Normalny"/>
    <w:next w:val="Normalny"/>
    <w:qFormat/>
    <w:pPr>
      <w:numPr>
        <w:ilvl w:val="7"/>
        <w:numId w:val="1"/>
      </w:numPr>
      <w:tabs>
        <w:tab w:val="left" w:pos="198"/>
      </w:tabs>
      <w:spacing w:before="240" w:after="60"/>
      <w:jc w:val="both"/>
      <w:outlineLvl w:val="7"/>
    </w:pPr>
    <w:rPr>
      <w:rFonts w:ascii="Arial" w:hAnsi="Arial"/>
      <w:i/>
      <w:sz w:val="20"/>
      <w:szCs w:val="20"/>
      <w:lang w:val="en-GB"/>
    </w:rPr>
  </w:style>
  <w:style w:type="paragraph" w:styleId="Nagwek9">
    <w:name w:val="heading 9"/>
    <w:basedOn w:val="Normalny"/>
    <w:next w:val="Normalny"/>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qFormat/>
    <w:pPr>
      <w:spacing w:after="120"/>
    </w:pPr>
  </w:style>
  <w:style w:type="paragraph" w:styleId="Tekstpodstawowy2">
    <w:name w:val="Body Text 2"/>
    <w:basedOn w:val="Normalny"/>
    <w:qFormat/>
    <w:pPr>
      <w:spacing w:after="120" w:line="480" w:lineRule="auto"/>
    </w:pPr>
  </w:style>
  <w:style w:type="paragraph" w:styleId="Tekstpodstawowywcity">
    <w:name w:val="Body Text Indent"/>
    <w:basedOn w:val="Normalny"/>
    <w:qFormat/>
    <w:pPr>
      <w:tabs>
        <w:tab w:val="left" w:pos="198"/>
      </w:tabs>
      <w:autoSpaceDE w:val="0"/>
      <w:autoSpaceDN w:val="0"/>
      <w:jc w:val="both"/>
    </w:pPr>
    <w:rPr>
      <w:sz w:val="20"/>
      <w:szCs w:val="20"/>
      <w:lang w:val="en-US" w:eastAsia="ru-RU"/>
    </w:rPr>
  </w:style>
  <w:style w:type="paragraph" w:styleId="Tekstpodstawowywcity2">
    <w:name w:val="Body Text Indent 2"/>
    <w:basedOn w:val="Normalny"/>
    <w:qFormat/>
    <w:pPr>
      <w:tabs>
        <w:tab w:val="left" w:pos="198"/>
      </w:tabs>
      <w:spacing w:after="120" w:line="480" w:lineRule="auto"/>
      <w:ind w:left="283" w:firstLine="170"/>
      <w:jc w:val="both"/>
    </w:pPr>
    <w:rPr>
      <w:sz w:val="20"/>
      <w:szCs w:val="20"/>
      <w:lang w:val="en-GB"/>
    </w:rPr>
  </w:style>
  <w:style w:type="paragraph" w:styleId="Tekstpodstawowywcity3">
    <w:name w:val="Body Text Indent 3"/>
    <w:basedOn w:val="Normalny"/>
    <w:qFormat/>
    <w:pPr>
      <w:spacing w:after="120"/>
      <w:ind w:left="283"/>
    </w:pPr>
    <w:rPr>
      <w:sz w:val="16"/>
      <w:szCs w:val="16"/>
    </w:rPr>
  </w:style>
  <w:style w:type="paragraph" w:styleId="Stopka">
    <w:name w:val="footer"/>
    <w:basedOn w:val="Normalny"/>
    <w:link w:val="StopkaZnak"/>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Tekstprzypisudolnego">
    <w:name w:val="footnote text"/>
    <w:basedOn w:val="Normalny"/>
    <w:semiHidden/>
    <w:qFormat/>
    <w:pPr>
      <w:tabs>
        <w:tab w:val="left" w:pos="198"/>
      </w:tabs>
      <w:ind w:firstLine="198"/>
      <w:jc w:val="both"/>
    </w:pPr>
    <w:rPr>
      <w:sz w:val="16"/>
      <w:szCs w:val="20"/>
    </w:rPr>
  </w:style>
  <w:style w:type="paragraph" w:styleId="Nagwek">
    <w:name w:val="header"/>
    <w:basedOn w:val="Normalny"/>
    <w:qFormat/>
    <w:pPr>
      <w:tabs>
        <w:tab w:val="center" w:pos="4986"/>
        <w:tab w:val="right" w:pos="9973"/>
      </w:tabs>
    </w:pPr>
  </w:style>
  <w:style w:type="character" w:styleId="Hipercze">
    <w:name w:val="Hyperlink"/>
    <w:qFormat/>
    <w:rPr>
      <w:color w:val="0000FF"/>
      <w:u w:val="single"/>
    </w:rPr>
  </w:style>
  <w:style w:type="paragraph" w:styleId="NormalnyWeb">
    <w:name w:val="Normal (Web)"/>
    <w:basedOn w:val="Normalny"/>
    <w:qFormat/>
    <w:pPr>
      <w:spacing w:before="100" w:beforeAutospacing="1" w:after="100" w:afterAutospacing="1"/>
    </w:pPr>
    <w:rPr>
      <w:lang w:val="en-US"/>
    </w:rPr>
  </w:style>
  <w:style w:type="character" w:styleId="Numerstrony">
    <w:name w:val="page number"/>
    <w:basedOn w:val="Domylnaczcionkaakapitu"/>
    <w:qFormat/>
  </w:style>
  <w:style w:type="character" w:styleId="Pogrubienie">
    <w:name w:val="Strong"/>
    <w:uiPriority w:val="22"/>
    <w:qFormat/>
    <w:rPr>
      <w:b/>
      <w:bCs/>
    </w:rPr>
  </w:style>
  <w:style w:type="table" w:styleId="Tabela-Siatka">
    <w:name w:val="Table Grid"/>
    <w:basedOn w:val="Standardowy"/>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Normalny"/>
    <w:qFormat/>
    <w:pPr>
      <w:tabs>
        <w:tab w:val="left" w:pos="198"/>
      </w:tabs>
      <w:spacing w:after="120"/>
      <w:jc w:val="center"/>
    </w:pPr>
    <w:rPr>
      <w:szCs w:val="20"/>
    </w:rPr>
  </w:style>
  <w:style w:type="paragraph" w:customStyle="1" w:styleId="MainTitle">
    <w:name w:val="Main Title"/>
    <w:basedOn w:val="Normalny"/>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Normalny"/>
    <w:qFormat/>
    <w:pPr>
      <w:tabs>
        <w:tab w:val="left" w:pos="-1276"/>
        <w:tab w:val="left" w:pos="198"/>
      </w:tabs>
      <w:ind w:firstLine="142"/>
      <w:jc w:val="both"/>
    </w:pPr>
    <w:rPr>
      <w:b/>
      <w:i/>
      <w:sz w:val="18"/>
      <w:szCs w:val="20"/>
    </w:rPr>
  </w:style>
  <w:style w:type="paragraph" w:customStyle="1" w:styleId="IndexTerms">
    <w:name w:val="Index Terms"/>
    <w:basedOn w:val="Normalny"/>
    <w:link w:val="IndexTerms0"/>
    <w:qFormat/>
    <w:pPr>
      <w:tabs>
        <w:tab w:val="left" w:pos="198"/>
      </w:tabs>
      <w:spacing w:after="120"/>
      <w:ind w:firstLine="142"/>
      <w:jc w:val="both"/>
    </w:pPr>
    <w:rPr>
      <w:sz w:val="18"/>
      <w:szCs w:val="20"/>
    </w:rPr>
  </w:style>
  <w:style w:type="paragraph" w:customStyle="1" w:styleId="Figure">
    <w:name w:val="Figure"/>
    <w:basedOn w:val="Normalny"/>
    <w:qFormat/>
    <w:pPr>
      <w:keepNext/>
      <w:spacing w:before="120" w:line="264" w:lineRule="auto"/>
      <w:jc w:val="center"/>
    </w:pPr>
    <w:rPr>
      <w:b/>
      <w:szCs w:val="20"/>
    </w:rPr>
  </w:style>
  <w:style w:type="paragraph" w:customStyle="1" w:styleId="a">
    <w:name w:val="подпись к картинке"/>
    <w:basedOn w:val="Normalny"/>
    <w:link w:val="a0"/>
    <w:qFormat/>
    <w:pPr>
      <w:jc w:val="center"/>
    </w:pPr>
    <w:rPr>
      <w:sz w:val="18"/>
      <w:szCs w:val="18"/>
      <w:lang w:val="ru-RU" w:eastAsia="uk-UA"/>
    </w:rPr>
  </w:style>
  <w:style w:type="character" w:customStyle="1" w:styleId="a0">
    <w:name w:val="подпись к картинке Знак"/>
    <w:link w:val="a"/>
    <w:qFormat/>
    <w:rPr>
      <w:sz w:val="18"/>
      <w:szCs w:val="18"/>
      <w:lang w:val="ru-RU" w:eastAsia="uk-UA" w:bidi="ar-SA"/>
    </w:rPr>
  </w:style>
  <w:style w:type="paragraph" w:customStyle="1" w:styleId="list10pt">
    <w:name w:val="Стиль list + 10 pt"/>
    <w:basedOn w:val="Normalny"/>
    <w:qFormat/>
    <w:pPr>
      <w:numPr>
        <w:numId w:val="2"/>
      </w:numPr>
      <w:jc w:val="both"/>
    </w:pPr>
    <w:rPr>
      <w:sz w:val="20"/>
      <w:szCs w:val="28"/>
      <w:lang w:val="ru-RU" w:eastAsia="uk-UA"/>
    </w:rPr>
  </w:style>
  <w:style w:type="paragraph" w:customStyle="1" w:styleId="list10pt1">
    <w:name w:val="Стиль list + 10 pt1"/>
    <w:basedOn w:val="Normalny"/>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Normalny"/>
    <w:qFormat/>
    <w:pPr>
      <w:spacing w:line="288" w:lineRule="auto"/>
      <w:ind w:firstLine="720"/>
      <w:jc w:val="both"/>
    </w:pPr>
    <w:rPr>
      <w:sz w:val="20"/>
      <w:szCs w:val="20"/>
      <w:lang w:val="ru-RU"/>
    </w:rPr>
  </w:style>
  <w:style w:type="paragraph" w:customStyle="1" w:styleId="CSIT-List">
    <w:name w:val="CSIT-List"/>
    <w:basedOn w:val="Normalny"/>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Normalny"/>
    <w:qFormat/>
    <w:pPr>
      <w:tabs>
        <w:tab w:val="left" w:pos="198"/>
        <w:tab w:val="center" w:pos="2410"/>
        <w:tab w:val="right" w:pos="4962"/>
      </w:tabs>
      <w:ind w:firstLine="170"/>
      <w:jc w:val="both"/>
    </w:pPr>
    <w:rPr>
      <w:sz w:val="20"/>
      <w:szCs w:val="20"/>
    </w:rPr>
  </w:style>
  <w:style w:type="paragraph" w:customStyle="1" w:styleId="ETytle">
    <w:name w:val="E. Tytle"/>
    <w:basedOn w:val="Normalny"/>
    <w:qFormat/>
    <w:pPr>
      <w:tabs>
        <w:tab w:val="left" w:pos="198"/>
      </w:tabs>
      <w:spacing w:after="120"/>
      <w:ind w:firstLine="170"/>
      <w:jc w:val="center"/>
    </w:pPr>
    <w:rPr>
      <w:b/>
      <w:smallCaps/>
      <w:szCs w:val="20"/>
      <w:lang w:val="en-US"/>
    </w:rPr>
  </w:style>
  <w:style w:type="paragraph" w:customStyle="1" w:styleId="Text">
    <w:name w:val="Text"/>
    <w:basedOn w:val="Normalny"/>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Normalny"/>
    <w:qFormat/>
    <w:pPr>
      <w:tabs>
        <w:tab w:val="left" w:pos="198"/>
      </w:tabs>
      <w:ind w:left="284" w:hanging="284"/>
      <w:jc w:val="both"/>
    </w:pPr>
    <w:rPr>
      <w:sz w:val="20"/>
      <w:szCs w:val="20"/>
      <w:lang w:val="en-GB"/>
    </w:rPr>
  </w:style>
  <w:style w:type="paragraph" w:customStyle="1" w:styleId="1">
    <w:name w:val="Стиль1"/>
    <w:basedOn w:val="Normalny"/>
    <w:qFormat/>
    <w:pPr>
      <w:tabs>
        <w:tab w:val="left" w:pos="198"/>
      </w:tabs>
      <w:spacing w:before="60" w:after="60"/>
      <w:ind w:firstLine="170"/>
      <w:jc w:val="center"/>
    </w:pPr>
    <w:rPr>
      <w:smallCaps/>
      <w:sz w:val="18"/>
      <w:szCs w:val="20"/>
    </w:rPr>
  </w:style>
  <w:style w:type="paragraph" w:customStyle="1" w:styleId="10">
    <w:name w:val="Бібліографія1"/>
    <w:basedOn w:val="Normalny"/>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Domylnaczcionkaakapitu"/>
    <w:qFormat/>
  </w:style>
  <w:style w:type="character" w:customStyle="1" w:styleId="apple-converted-space">
    <w:name w:val="apple-converted-space"/>
    <w:basedOn w:val="Domylnaczcionkaakapitu"/>
    <w:qFormat/>
  </w:style>
  <w:style w:type="paragraph" w:customStyle="1" w:styleId="Literature">
    <w:name w:val="Literature"/>
    <w:basedOn w:val="Normalny"/>
    <w:qFormat/>
    <w:pPr>
      <w:numPr>
        <w:numId w:val="5"/>
      </w:numPr>
      <w:spacing w:line="360" w:lineRule="auto"/>
      <w:jc w:val="both"/>
    </w:pPr>
    <w:rPr>
      <w:sz w:val="28"/>
      <w:szCs w:val="20"/>
      <w:lang w:eastAsia="uk-UA"/>
    </w:rPr>
  </w:style>
  <w:style w:type="character" w:customStyle="1" w:styleId="Nierozpoznanawzmianka1">
    <w:name w:val="Nierozpoznana wzmianka1"/>
    <w:uiPriority w:val="99"/>
    <w:semiHidden/>
    <w:unhideWhenUsed/>
    <w:rPr>
      <w:color w:val="605E5C"/>
      <w:shd w:val="clear" w:color="auto" w:fill="E1DFDD"/>
    </w:rPr>
  </w:style>
  <w:style w:type="character" w:customStyle="1" w:styleId="StopkaZnak">
    <w:name w:val="Stopka Znak"/>
    <w:link w:val="Stopka"/>
    <w:uiPriority w:val="99"/>
    <w:rPr>
      <w:lang w:eastAsia="uk-UA"/>
    </w:rPr>
  </w:style>
  <w:style w:type="table" w:styleId="Zwykatabela1">
    <w:name w:val="Plain Table 1"/>
    <w:basedOn w:val="Standardowy"/>
    <w:uiPriority w:val="41"/>
    <w:rsid w:val="00CE1873"/>
    <w:rPr>
      <w:rFonts w:asciiTheme="minorHAnsi" w:eastAsiaTheme="minorHAnsi" w:hAnsiTheme="minorHAnsi" w:cstheme="minorBidi"/>
      <w:kern w:val="2"/>
      <w:sz w:val="24"/>
      <w:szCs w:val="24"/>
      <w:lang w:val="pl-PL" w:eastAsia="en-US"/>
      <w14:ligatures w14:val="standardContextual"/>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Nierozpoznanawzmianka">
    <w:name w:val="Unresolved Mention"/>
    <w:basedOn w:val="Domylnaczcionkaakapitu"/>
    <w:uiPriority w:val="99"/>
    <w:semiHidden/>
    <w:unhideWhenUsed/>
    <w:rsid w:val="000214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doi.org/10.1016/j.jare.2013.07.006" TargetMode="External"/><Relationship Id="rId13" Type="http://schemas.openxmlformats.org/officeDocument/2006/relationships/hyperlink" Target="https://doi.org/10.3390/polym14050986"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x.doi.org/10.1021/acssuschemeng.7b00085"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3390/polym12010032"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doi.org/10.1016/j.pmatsci.2015.06.001" TargetMode="External"/><Relationship Id="rId4" Type="http://schemas.openxmlformats.org/officeDocument/2006/relationships/settings" Target="settings.xml"/><Relationship Id="rId9" Type="http://schemas.openxmlformats.org/officeDocument/2006/relationships/hyperlink" Target="https://doi.org/10.1016/S0141-3910(03)00232-5" TargetMode="External"/><Relationship Id="rId14" Type="http://schemas.openxmlformats.org/officeDocument/2006/relationships/hyperlink" Target="http://dx.doi.org/10.1021/acs.biomac.8b00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D12542-F019-4BF1-91AF-2186D17EE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2145</Words>
  <Characters>12870</Characters>
  <Application>Microsoft Office Word</Application>
  <DocSecurity>0</DocSecurity>
  <Lines>107</Lines>
  <Paragraphs>29</Paragraphs>
  <ScaleCrop>false</ScaleCrop>
  <HeadingPairs>
    <vt:vector size="4" baseType="variant">
      <vt:variant>
        <vt:lpstr>Tytuł</vt:lpstr>
      </vt:variant>
      <vt:variant>
        <vt:i4>1</vt:i4>
      </vt:variant>
      <vt:variant>
        <vt:lpstr>Назва</vt:lpstr>
      </vt:variant>
      <vt:variant>
        <vt:i4>1</vt:i4>
      </vt:variant>
    </vt:vector>
  </HeadingPairs>
  <TitlesOfParts>
    <vt:vector size="2" baseType="lpstr">
      <vt:lpstr> </vt:lpstr>
      <vt:lpstr> </vt:lpstr>
    </vt:vector>
  </TitlesOfParts>
  <Company>ss</Company>
  <LinksUpToDate>false</LinksUpToDate>
  <CharactersWithSpaces>14986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Oleksandra Dzeikala</cp:lastModifiedBy>
  <cp:revision>3</cp:revision>
  <cp:lastPrinted>2010-05-30T09:50:00Z</cp:lastPrinted>
  <dcterms:created xsi:type="dcterms:W3CDTF">2024-05-13T10:15:00Z</dcterms:created>
  <dcterms:modified xsi:type="dcterms:W3CDTF">2025-02-12T11:24:00Z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