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D006" w14:textId="46B5534F" w:rsidR="000D5116" w:rsidRPr="00AD2CEC" w:rsidRDefault="0098646D" w:rsidP="00AB0A26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UA"/>
          <w14:ligatures w14:val="none"/>
        </w:rPr>
      </w:pPr>
      <w:r w:rsidRPr="00AD2CE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UA"/>
          <w14:ligatures w14:val="none"/>
        </w:rPr>
        <w:t xml:space="preserve">ESG як </w:t>
      </w:r>
      <w:r w:rsidR="00185722" w:rsidRPr="00AD2CE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UA"/>
          <w14:ligatures w14:val="none"/>
        </w:rPr>
        <w:t>ОБОВ</w:t>
      </w:r>
      <w:r w:rsidR="004649E8" w:rsidRPr="00AD2CE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UA"/>
          <w14:ligatures w14:val="none"/>
        </w:rPr>
        <w:t>`</w:t>
      </w:r>
      <w:r w:rsidR="00185722" w:rsidRPr="00AD2CE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UA"/>
          <w14:ligatures w14:val="none"/>
        </w:rPr>
        <w:t xml:space="preserve">ЯЗКОВА </w:t>
      </w:r>
      <w:r w:rsidRPr="00AD2CE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UA"/>
          <w14:ligatures w14:val="none"/>
        </w:rPr>
        <w:t>складова розвитку національного бізнесу у повоєнний період</w:t>
      </w:r>
    </w:p>
    <w:p w14:paraId="0A98CDC3" w14:textId="4F3FAD75" w:rsidR="006F6F5A" w:rsidRPr="007D5E93" w:rsidRDefault="006F6F5A" w:rsidP="00AB0A26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UA"/>
          <w14:ligatures w14:val="none"/>
        </w:rPr>
      </w:pPr>
      <w:r w:rsidRPr="007D5E93">
        <w:rPr>
          <w:rFonts w:ascii="Times New Roman" w:eastAsia="Times New Roman" w:hAnsi="Times New Roman" w:cs="Times New Roman"/>
          <w:caps/>
          <w:color w:val="222222"/>
          <w:kern w:val="36"/>
          <w:sz w:val="28"/>
          <w:szCs w:val="28"/>
          <w:lang w:val="uk-UA" w:eastAsia="ru-UA"/>
          <w14:ligatures w14:val="none"/>
        </w:rPr>
        <w:t>Д</w:t>
      </w:r>
      <w:r w:rsidRPr="007D5E9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UA"/>
          <w14:ligatures w14:val="none"/>
        </w:rPr>
        <w:t>орошенко Л.М.</w:t>
      </w:r>
    </w:p>
    <w:p w14:paraId="6F01DF54" w14:textId="6C5B8DA4" w:rsidR="00A40E18" w:rsidRPr="007D5E93" w:rsidRDefault="0065164D" w:rsidP="00AB0A26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5E93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університет імені Василя Стуса, Україна</w:t>
      </w:r>
    </w:p>
    <w:p w14:paraId="0D59F9D7" w14:textId="71E1EBF8" w:rsidR="0065164D" w:rsidRPr="007D5E93" w:rsidRDefault="00680620" w:rsidP="00AB0A26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AD37CE" w:rsidRPr="007D5E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doroshenko@donnu.edu.ua</w:t>
        </w:r>
      </w:hyperlink>
    </w:p>
    <w:p w14:paraId="6B6EF275" w14:textId="77777777" w:rsidR="00AD37CE" w:rsidRPr="002653CF" w:rsidRDefault="00AD37CE" w:rsidP="00AB0A2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E2B6CE" w14:textId="683ABCAF" w:rsidR="000E2ADF" w:rsidRPr="00AD2CEC" w:rsidRDefault="00A466A9" w:rsidP="00AB0A26">
      <w:pPr>
        <w:pStyle w:val="ae"/>
        <w:spacing w:line="23" w:lineRule="atLeast"/>
        <w:ind w:left="0" w:firstLine="709"/>
      </w:pPr>
      <w:r w:rsidRPr="00AD2CEC">
        <w:t xml:space="preserve">Український бізнес </w:t>
      </w:r>
      <w:r w:rsidR="00306537" w:rsidRPr="00AD2CEC">
        <w:t>активно застосовує європейські тренди у своїй діяльності</w:t>
      </w:r>
      <w:r w:rsidR="00A86594" w:rsidRPr="00AD2CEC">
        <w:t xml:space="preserve">. І це </w:t>
      </w:r>
      <w:r w:rsidR="00C21CB2" w:rsidRPr="00AD2CEC">
        <w:t xml:space="preserve">питання не тільки сьогодення, а і </w:t>
      </w:r>
      <w:r w:rsidR="009351D6" w:rsidRPr="00AD2CEC">
        <w:t xml:space="preserve">майбутнього </w:t>
      </w:r>
      <w:r w:rsidR="004F5F3C" w:rsidRPr="00AD2CEC">
        <w:t xml:space="preserve">розвитку </w:t>
      </w:r>
      <w:r w:rsidR="009351D6" w:rsidRPr="00AD2CEC">
        <w:t xml:space="preserve">економіки. </w:t>
      </w:r>
      <w:r w:rsidR="00636E0E" w:rsidRPr="00AD2CEC">
        <w:t xml:space="preserve">Багато з </w:t>
      </w:r>
      <w:r w:rsidR="007B2A1C">
        <w:t xml:space="preserve">компаній </w:t>
      </w:r>
      <w:r w:rsidR="00636E0E" w:rsidRPr="00AD2CEC">
        <w:t>приймають стратегі</w:t>
      </w:r>
      <w:r w:rsidR="00333700">
        <w:t>ї</w:t>
      </w:r>
      <w:r w:rsidR="00636E0E" w:rsidRPr="00AD2CEC">
        <w:t xml:space="preserve"> 2030</w:t>
      </w:r>
      <w:r w:rsidR="000D5254" w:rsidRPr="007B2A1C">
        <w:rPr>
          <w:lang w:val="ru-RU"/>
        </w:rPr>
        <w:t xml:space="preserve"> </w:t>
      </w:r>
      <w:r w:rsidR="007B2A1C">
        <w:t>і пріоритетами в них є</w:t>
      </w:r>
      <w:r w:rsidR="000E2ADF" w:rsidRPr="00AD2CEC">
        <w:t>:</w:t>
      </w:r>
    </w:p>
    <w:p w14:paraId="4FA87779" w14:textId="555F0602" w:rsidR="000E2ADF" w:rsidRPr="00AD2CEC" w:rsidRDefault="004F5F3C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t>лідерство</w:t>
      </w:r>
      <w:r w:rsidR="00DA7FB9" w:rsidRPr="00AD2CEC">
        <w:t xml:space="preserve"> (</w:t>
      </w:r>
      <w:r w:rsidR="00636E0E" w:rsidRPr="00AD2CEC">
        <w:t>в ринковому конкурентному середовищі, у впровадженні нових технологій і інновацій</w:t>
      </w:r>
      <w:r w:rsidR="00DA7FB9" w:rsidRPr="00AD2CEC">
        <w:t xml:space="preserve"> тощо</w:t>
      </w:r>
      <w:r w:rsidR="00636E0E" w:rsidRPr="00AD2CEC">
        <w:t>)</w:t>
      </w:r>
      <w:r w:rsidR="000E2ADF" w:rsidRPr="00AD2CEC">
        <w:t>;</w:t>
      </w:r>
    </w:p>
    <w:p w14:paraId="3D27F4AD" w14:textId="45E2191D" w:rsidR="00694EDB" w:rsidRPr="00AD2CEC" w:rsidRDefault="00DA7FB9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t>трансформація (в</w:t>
      </w:r>
      <w:r w:rsidR="00636E0E" w:rsidRPr="00AD2CEC">
        <w:t xml:space="preserve"> екологічний, ефективний і технологічний бізнес)</w:t>
      </w:r>
      <w:r w:rsidR="00694EDB" w:rsidRPr="00AD2CEC">
        <w:t>;</w:t>
      </w:r>
    </w:p>
    <w:p w14:paraId="557AE0D8" w14:textId="5C83EF62" w:rsidR="00636E0E" w:rsidRPr="00AD2CEC" w:rsidRDefault="00DA7FB9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t>диверсифікація</w:t>
      </w:r>
      <w:r w:rsidR="00680A72" w:rsidRPr="00AD2CEC">
        <w:t xml:space="preserve"> (</w:t>
      </w:r>
      <w:r w:rsidR="00636E0E" w:rsidRPr="00AD2CEC">
        <w:rPr>
          <w:shd w:val="clear" w:color="auto" w:fill="FFFFFF"/>
        </w:rPr>
        <w:t>процес розвитку діяльності </w:t>
      </w:r>
      <w:hyperlink r:id="rId6" w:tooltip="Підприємство" w:history="1">
        <w:r w:rsidR="00636E0E" w:rsidRPr="00AD2CEC">
          <w:rPr>
            <w:rStyle w:val="ad"/>
            <w:rFonts w:eastAsiaTheme="majorEastAsia"/>
            <w:color w:val="auto"/>
            <w:u w:val="none"/>
            <w:shd w:val="clear" w:color="auto" w:fill="FFFFFF"/>
          </w:rPr>
          <w:t>підприємства</w:t>
        </w:r>
      </w:hyperlink>
      <w:r w:rsidR="00636E0E" w:rsidRPr="00AD2CEC">
        <w:rPr>
          <w:shd w:val="clear" w:color="auto" w:fill="FFFFFF"/>
        </w:rPr>
        <w:t>, пов'язаний із збільшенням діапазону видів та проникненням в нові сфери діяльності, освоєнням нових виробництв, розширенням асортименту товар</w:t>
      </w:r>
      <w:r w:rsidR="00744DD5">
        <w:rPr>
          <w:shd w:val="clear" w:color="auto" w:fill="FFFFFF"/>
        </w:rPr>
        <w:t>ів</w:t>
      </w:r>
      <w:r w:rsidR="00636E0E" w:rsidRPr="00AD2CEC">
        <w:rPr>
          <w:shd w:val="clear" w:color="auto" w:fill="FFFFFF"/>
        </w:rPr>
        <w:t>, що включає не тільки диверсифікацію товарних груп, але й </w:t>
      </w:r>
      <w:hyperlink r:id="rId7" w:tooltip="Розповсюдження (ще не написана)" w:history="1">
        <w:r w:rsidR="00636E0E" w:rsidRPr="00AD2CEC">
          <w:rPr>
            <w:rStyle w:val="ad"/>
            <w:rFonts w:eastAsiaTheme="majorEastAsia"/>
            <w:color w:val="auto"/>
            <w:u w:val="none"/>
            <w:shd w:val="clear" w:color="auto" w:fill="FFFFFF"/>
          </w:rPr>
          <w:t>розповсюдження</w:t>
        </w:r>
      </w:hyperlink>
      <w:r w:rsidR="00636E0E" w:rsidRPr="00AD2CEC">
        <w:rPr>
          <w:shd w:val="clear" w:color="auto" w:fill="FFFFFF"/>
        </w:rPr>
        <w:t> підприємницької діяльності на нові та не пов'язані з основними видами діяльності фірми</w:t>
      </w:r>
      <w:r w:rsidR="00636E0E" w:rsidRPr="00AD2CEC">
        <w:rPr>
          <w:rStyle w:val="ac"/>
          <w:rFonts w:eastAsiaTheme="majorEastAsia"/>
          <w:b w:val="0"/>
          <w:bCs w:val="0"/>
        </w:rPr>
        <w:t xml:space="preserve"> </w:t>
      </w:r>
      <w:r w:rsidR="00680A72" w:rsidRPr="00AD2CEC">
        <w:rPr>
          <w:rStyle w:val="ac"/>
          <w:rFonts w:eastAsiaTheme="majorEastAsia"/>
          <w:b w:val="0"/>
          <w:bCs w:val="0"/>
        </w:rPr>
        <w:t xml:space="preserve">, наприклад, </w:t>
      </w:r>
      <w:r w:rsidR="002D4797" w:rsidRPr="00AD2CEC">
        <w:rPr>
          <w:rStyle w:val="ac"/>
          <w:rFonts w:eastAsiaTheme="majorEastAsia"/>
          <w:b w:val="0"/>
          <w:bCs w:val="0"/>
        </w:rPr>
        <w:t xml:space="preserve">підприємство, яке займалося лише видобутком газу, може </w:t>
      </w:r>
      <w:r w:rsidR="000E2ADF" w:rsidRPr="00AD2CEC">
        <w:rPr>
          <w:rStyle w:val="ac"/>
          <w:rFonts w:eastAsiaTheme="majorEastAsia"/>
          <w:b w:val="0"/>
          <w:bCs w:val="0"/>
        </w:rPr>
        <w:t xml:space="preserve">збільшити сферу господарювання за рахунок </w:t>
      </w:r>
      <w:r w:rsidR="00636E0E" w:rsidRPr="00AD2CEC">
        <w:t>трейдинг</w:t>
      </w:r>
      <w:r w:rsidR="000E2ADF" w:rsidRPr="00AD2CEC">
        <w:t xml:space="preserve">у, обслуговування </w:t>
      </w:r>
      <w:r w:rsidR="00636E0E" w:rsidRPr="00AD2CEC">
        <w:t>розподільн</w:t>
      </w:r>
      <w:r w:rsidR="000E2ADF" w:rsidRPr="00AD2CEC">
        <w:t>их</w:t>
      </w:r>
      <w:r w:rsidR="00636E0E" w:rsidRPr="00AD2CEC">
        <w:t xml:space="preserve"> мереж)</w:t>
      </w:r>
      <w:r w:rsidR="000E2ADF" w:rsidRPr="00AD2CEC">
        <w:t>;</w:t>
      </w:r>
    </w:p>
    <w:p w14:paraId="472ED445" w14:textId="77777777" w:rsidR="00092990" w:rsidRPr="00AD2CEC" w:rsidRDefault="00694EDB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rPr>
          <w:rStyle w:val="ac"/>
          <w:rFonts w:eastAsiaTheme="majorEastAsia"/>
          <w:b w:val="0"/>
          <w:bCs w:val="0"/>
        </w:rPr>
        <w:t xml:space="preserve">клієнтоцентрічність </w:t>
      </w:r>
      <w:r w:rsidR="00C001B7" w:rsidRPr="00AD2CEC">
        <w:rPr>
          <w:rStyle w:val="ac"/>
          <w:rFonts w:eastAsiaTheme="majorEastAsia"/>
          <w:b w:val="0"/>
          <w:bCs w:val="0"/>
        </w:rPr>
        <w:t>(при цій моделі діяльності компанії має місце в</w:t>
      </w:r>
      <w:r w:rsidR="00636E0E" w:rsidRPr="00AD2CEC">
        <w:t>изначальна роль клієнта</w:t>
      </w:r>
      <w:r w:rsidR="00092990" w:rsidRPr="00AD2CEC">
        <w:t>);</w:t>
      </w:r>
    </w:p>
    <w:p w14:paraId="2692F628" w14:textId="535C281E" w:rsidR="00636E0E" w:rsidRPr="00AD2CEC" w:rsidRDefault="00092990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rPr>
          <w:rStyle w:val="ac"/>
          <w:rFonts w:eastAsiaTheme="majorEastAsia"/>
          <w:b w:val="0"/>
          <w:bCs w:val="0"/>
        </w:rPr>
        <w:t xml:space="preserve">експансія </w:t>
      </w:r>
      <w:r w:rsidR="00636E0E" w:rsidRPr="00AD2CEC">
        <w:t>(</w:t>
      </w:r>
      <w:r w:rsidR="004C0592" w:rsidRPr="00AD2CEC">
        <w:t xml:space="preserve">наприклад, </w:t>
      </w:r>
      <w:r w:rsidRPr="00AD2CEC">
        <w:t>і</w:t>
      </w:r>
      <w:r w:rsidR="00636E0E" w:rsidRPr="00AD2CEC">
        <w:t>нтеграція з європейськ</w:t>
      </w:r>
      <w:r w:rsidR="008756C8" w:rsidRPr="00AD2CEC">
        <w:t>ими ринками</w:t>
      </w:r>
      <w:r w:rsidR="002371FA" w:rsidRPr="00AD2CEC">
        <w:t xml:space="preserve">, </w:t>
      </w:r>
      <w:r w:rsidR="00636E0E" w:rsidRPr="00AD2CEC">
        <w:t>активний розвиток</w:t>
      </w:r>
      <w:r w:rsidR="00BD1F78" w:rsidRPr="00AD2CEC">
        <w:rPr>
          <w:rFonts w:eastAsiaTheme="minorHAnsi"/>
          <w:kern w:val="2"/>
          <w:bdr w:val="none" w:sz="0" w:space="0" w:color="auto" w:frame="1"/>
          <w:shd w:val="clear" w:color="auto" w:fill="FFFFFF"/>
          <w14:ligatures w14:val="standardContextual"/>
        </w:rPr>
        <w:t xml:space="preserve"> </w:t>
      </w:r>
      <w:r w:rsidR="000909AC" w:rsidRPr="00AD2CEC">
        <w:t xml:space="preserve">відновлюваних </w:t>
      </w:r>
      <w:r w:rsidR="00BD1F78" w:rsidRPr="00AD2CEC">
        <w:t>джерел енергії</w:t>
      </w:r>
      <w:r w:rsidR="008E5F1B">
        <w:t xml:space="preserve"> - </w:t>
      </w:r>
      <w:r w:rsidR="00BD1F78" w:rsidRPr="00AD2CEC">
        <w:t>джерел, які поновлюються природним шляхом</w:t>
      </w:r>
      <w:r w:rsidR="004C0592" w:rsidRPr="00AD2CEC">
        <w:t>)</w:t>
      </w:r>
      <w:r w:rsidR="00A849DA">
        <w:t>;</w:t>
      </w:r>
      <w:r w:rsidR="00636E0E" w:rsidRPr="00AD2CEC">
        <w:t xml:space="preserve"> </w:t>
      </w:r>
    </w:p>
    <w:p w14:paraId="0D27AD2A" w14:textId="0EE38A2B" w:rsidR="00636E0E" w:rsidRPr="00AD2CEC" w:rsidRDefault="006D1830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t>д</w:t>
      </w:r>
      <w:r w:rsidR="00636E0E" w:rsidRPr="00AD2CEC">
        <w:t>екарбонизація (</w:t>
      </w:r>
      <w:r w:rsidR="00180EA8" w:rsidRPr="00AD2CEC">
        <w:t>п</w:t>
      </w:r>
      <w:r w:rsidR="00636E0E" w:rsidRPr="00AD2CEC">
        <w:rPr>
          <w:shd w:val="clear" w:color="auto" w:fill="FFFFFF"/>
        </w:rPr>
        <w:t>ом'якшення наслідків зміни клімату </w:t>
      </w:r>
      <w:r w:rsidR="00180EA8" w:rsidRPr="00AD2CEC">
        <w:rPr>
          <w:shd w:val="clear" w:color="auto" w:fill="FFFFFF"/>
        </w:rPr>
        <w:t>, що</w:t>
      </w:r>
      <w:r w:rsidR="00636E0E" w:rsidRPr="00AD2CEC">
        <w:rPr>
          <w:shd w:val="clear" w:color="auto" w:fill="FFFFFF"/>
        </w:rPr>
        <w:t> складається з дій з обмеження масштабів або темпів </w:t>
      </w:r>
      <w:hyperlink r:id="rId8" w:tooltip="Глобальне потепління" w:history="1">
        <w:r w:rsidR="00636E0E" w:rsidRPr="00AD2CEC">
          <w:rPr>
            <w:rStyle w:val="ad"/>
            <w:rFonts w:eastAsiaTheme="majorEastAsia"/>
            <w:color w:val="auto"/>
            <w:u w:val="none"/>
            <w:shd w:val="clear" w:color="auto" w:fill="FFFFFF"/>
          </w:rPr>
          <w:t>глобального потепління</w:t>
        </w:r>
      </w:hyperlink>
      <w:r w:rsidR="00636E0E" w:rsidRPr="00AD2CEC">
        <w:rPr>
          <w:shd w:val="clear" w:color="auto" w:fill="FFFFFF"/>
        </w:rPr>
        <w:t> і пов'язаних з цим </w:t>
      </w:r>
      <w:hyperlink r:id="rId9" w:tooltip="Наслідки глобального потепління" w:history="1">
        <w:r w:rsidR="00636E0E" w:rsidRPr="00AD2CEC">
          <w:rPr>
            <w:rStyle w:val="ad"/>
            <w:rFonts w:eastAsiaTheme="majorEastAsia"/>
            <w:color w:val="auto"/>
            <w:u w:val="none"/>
            <w:shd w:val="clear" w:color="auto" w:fill="FFFFFF"/>
          </w:rPr>
          <w:t>наслідків</w:t>
        </w:r>
      </w:hyperlink>
      <w:r w:rsidR="00636E0E" w:rsidRPr="00AD2CEC">
        <w:rPr>
          <w:shd w:val="clear" w:color="auto" w:fill="FFFFFF"/>
        </w:rPr>
        <w:t>)</w:t>
      </w:r>
      <w:r w:rsidR="00B17CFC" w:rsidRPr="00AD2CEC">
        <w:rPr>
          <w:shd w:val="clear" w:color="auto" w:fill="FFFFFF"/>
        </w:rPr>
        <w:t>;</w:t>
      </w:r>
    </w:p>
    <w:p w14:paraId="676B1AD9" w14:textId="10DA6E66" w:rsidR="003734C0" w:rsidRPr="00AD2CEC" w:rsidRDefault="00636E0E" w:rsidP="00AD37CE">
      <w:pPr>
        <w:pStyle w:val="ae"/>
        <w:numPr>
          <w:ilvl w:val="0"/>
          <w:numId w:val="1"/>
        </w:numPr>
        <w:spacing w:line="23" w:lineRule="atLeast"/>
        <w:ind w:left="0" w:firstLine="709"/>
      </w:pPr>
      <w:r w:rsidRPr="00AD2CEC">
        <w:t>ESG</w:t>
      </w:r>
      <w:r w:rsidR="00B17CFC" w:rsidRPr="00AD2CEC">
        <w:t>.</w:t>
      </w:r>
      <w:r w:rsidR="003734C0" w:rsidRPr="00AD2CEC">
        <w:t xml:space="preserve"> В</w:t>
      </w:r>
      <w:r w:rsidR="00C63B64" w:rsidRPr="00AD2CEC">
        <w:t xml:space="preserve"> умовах </w:t>
      </w:r>
      <w:r w:rsidR="00834A45">
        <w:t>є</w:t>
      </w:r>
      <w:r w:rsidR="00C63B64" w:rsidRPr="00AD2CEC">
        <w:t>вропейськ</w:t>
      </w:r>
      <w:r w:rsidR="00FE564F" w:rsidRPr="00AD2CEC">
        <w:t xml:space="preserve">ої </w:t>
      </w:r>
      <w:r w:rsidR="00C63B64" w:rsidRPr="00AD2CEC">
        <w:t>інтеграці</w:t>
      </w:r>
      <w:r w:rsidR="00FE564F" w:rsidRPr="00AD2CEC">
        <w:t>ї</w:t>
      </w:r>
      <w:r w:rsidR="00C63B64" w:rsidRPr="00AD2CEC">
        <w:t xml:space="preserve"> України</w:t>
      </w:r>
      <w:r w:rsidR="00FE564F" w:rsidRPr="00AD2CEC">
        <w:t>, майбутнього відновлення довкілля</w:t>
      </w:r>
      <w:r w:rsidR="00754810">
        <w:t xml:space="preserve">, </w:t>
      </w:r>
      <w:r w:rsidR="00DE6E94" w:rsidRPr="00AD2CEC">
        <w:t>необхідності відновлення соціально-економічної системи України у повоєнний час</w:t>
      </w:r>
      <w:r w:rsidR="000D3CD0" w:rsidRPr="00AD2CEC">
        <w:t xml:space="preserve">, застосування нових ефективних </w:t>
      </w:r>
      <w:r w:rsidR="00DE6E94" w:rsidRPr="00AD2CEC">
        <w:t>управлінськ</w:t>
      </w:r>
      <w:r w:rsidR="000D3CD0" w:rsidRPr="00AD2CEC">
        <w:t xml:space="preserve">их </w:t>
      </w:r>
      <w:r w:rsidR="00DE6E94" w:rsidRPr="00AD2CEC">
        <w:t>практик</w:t>
      </w:r>
      <w:r w:rsidR="000D3CD0" w:rsidRPr="00AD2CEC">
        <w:t xml:space="preserve">, </w:t>
      </w:r>
      <w:r w:rsidR="003734C0" w:rsidRPr="00AD2CEC">
        <w:t xml:space="preserve">ESG бачиться найбільш </w:t>
      </w:r>
      <w:r w:rsidR="00BB6EEE" w:rsidRPr="00AD2CEC">
        <w:t xml:space="preserve">ефективним інструментарієм в досягненні цих цілей. </w:t>
      </w:r>
    </w:p>
    <w:p w14:paraId="1DEACE0E" w14:textId="0E132BDB" w:rsidR="00636E0E" w:rsidRPr="00AD2CEC" w:rsidRDefault="00636E0E" w:rsidP="00AD37CE">
      <w:pPr>
        <w:pStyle w:val="ae"/>
        <w:spacing w:line="23" w:lineRule="atLeast"/>
        <w:ind w:left="0" w:firstLine="709"/>
      </w:pPr>
      <w:r w:rsidRPr="00AD2CEC">
        <w:rPr>
          <w:shd w:val="clear" w:color="auto" w:fill="FFFFFF"/>
        </w:rPr>
        <w:t xml:space="preserve">ESG-дані – це інформація про екологічні, соціальні та управлінські фактори компанії, що є ключовими для вимірювання сталості та етичного впливу інвестицій у компанію та бізнес. Наприклад, туди входить інформація про те: скільки води споживає компанія, </w:t>
      </w:r>
      <w:r w:rsidR="00BB6EEE" w:rsidRPr="00AD2CEC">
        <w:rPr>
          <w:shd w:val="clear" w:color="auto" w:fill="FFFFFF"/>
        </w:rPr>
        <w:t>скільки</w:t>
      </w:r>
      <w:r w:rsidRPr="00AD2CEC">
        <w:rPr>
          <w:shd w:val="clear" w:color="auto" w:fill="FFFFFF"/>
        </w:rPr>
        <w:t xml:space="preserve"> C</w:t>
      </w:r>
      <w:r w:rsidR="0003583B" w:rsidRPr="0003583B">
        <w:rPr>
          <w:shd w:val="clear" w:color="auto" w:fill="FFFFFF"/>
          <w:lang w:val="ru-UA"/>
        </w:rPr>
        <w:t>O</w:t>
      </w:r>
      <w:r w:rsidR="0003583B" w:rsidRPr="0003583B">
        <w:rPr>
          <w:shd w:val="clear" w:color="auto" w:fill="FFFFFF"/>
          <w:vertAlign w:val="subscript"/>
          <w:lang w:val="ru-UA"/>
        </w:rPr>
        <w:t>2</w:t>
      </w:r>
      <w:r w:rsidRPr="00AD2CEC">
        <w:rPr>
          <w:shd w:val="clear" w:color="auto" w:fill="FFFFFF"/>
        </w:rPr>
        <w:t xml:space="preserve"> викидів продукує, скільки має працівників та чи дотримана гендерна рівність, як виплачується заробітна плата тощо. Щодо управлінських критеріїв, то йдеться, приміром, про склад ради директорів, внутрішні заходи з протидії корупції та хабарництва.</w:t>
      </w:r>
    </w:p>
    <w:p w14:paraId="046416DF" w14:textId="6C97D1A8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Абревіатуру ESG можна розшифрувати як «екологія, соціальна політика та корпоративне управління». У широкому розумінні це сталий розвиток комерційної діяльності, що будується на наступних принципах:</w:t>
      </w:r>
    </w:p>
    <w:p w14:paraId="0ECE2A21" w14:textId="3DB295D3" w:rsidR="00A27166" w:rsidRPr="00AD2CEC" w:rsidRDefault="00A27166" w:rsidP="00AD37CE">
      <w:pPr>
        <w:pStyle w:val="a7"/>
        <w:numPr>
          <w:ilvl w:val="0"/>
          <w:numId w:val="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2CEC">
        <w:rPr>
          <w:rFonts w:ascii="Times New Roman" w:hAnsi="Times New Roman" w:cs="Times New Roman"/>
          <w:sz w:val="28"/>
          <w:szCs w:val="28"/>
          <w:lang w:val="uk-UA"/>
        </w:rPr>
        <w:t>відповідальне ставлення до довкілля (англ., E - environment);</w:t>
      </w:r>
    </w:p>
    <w:p w14:paraId="6E11BC88" w14:textId="21509E7F" w:rsidR="00A27166" w:rsidRPr="00AD2CEC" w:rsidRDefault="00A27166" w:rsidP="00AD37CE">
      <w:pPr>
        <w:pStyle w:val="a7"/>
        <w:numPr>
          <w:ilvl w:val="0"/>
          <w:numId w:val="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2CEC">
        <w:rPr>
          <w:rFonts w:ascii="Times New Roman" w:hAnsi="Times New Roman" w:cs="Times New Roman"/>
          <w:sz w:val="28"/>
          <w:szCs w:val="28"/>
          <w:lang w:val="uk-UA"/>
        </w:rPr>
        <w:t>висока соціальна відповідальність (англ., S - social);</w:t>
      </w:r>
    </w:p>
    <w:p w14:paraId="5F943E53" w14:textId="324FF0D9" w:rsidR="00A27166" w:rsidRPr="00AD2CEC" w:rsidRDefault="00A27166" w:rsidP="00AD37CE">
      <w:pPr>
        <w:pStyle w:val="a7"/>
        <w:numPr>
          <w:ilvl w:val="0"/>
          <w:numId w:val="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2CE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висока якість корпоративного управління (англ., G - governance).</w:t>
      </w:r>
    </w:p>
    <w:p w14:paraId="36AF87CE" w14:textId="195DD876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У сучасному вигляді ESG-принципи вперше сформулював колишній генеральний секретар ООН Кофі Аннан</w:t>
      </w:r>
      <w:r w:rsidR="00CC783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Він запропонував управлінцям великих світових компаній включити ці принципи до своїх стратегій, насамперед для боротьби зі зміною клімату.</w:t>
      </w:r>
      <w:r w:rsidR="00B33405">
        <w:rPr>
          <w:rFonts w:ascii="Times New Roman" w:hAnsi="Times New Roman" w:cs="Times New Roman"/>
          <w:sz w:val="28"/>
          <w:szCs w:val="28"/>
          <w:lang w:val="uk-UA"/>
        </w:rPr>
        <w:t xml:space="preserve"> Це я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вище стало популярним лише останні </w:t>
      </w:r>
      <w:r w:rsidR="00B33405">
        <w:rPr>
          <w:rFonts w:ascii="Times New Roman" w:hAnsi="Times New Roman" w:cs="Times New Roman"/>
          <w:sz w:val="28"/>
          <w:szCs w:val="28"/>
          <w:lang w:val="uk-UA"/>
        </w:rPr>
        <w:t xml:space="preserve">декілька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років, </w:t>
      </w:r>
      <w:r w:rsidR="00FC164F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проте воно </w:t>
      </w:r>
      <w:r w:rsidR="00B33405">
        <w:rPr>
          <w:rFonts w:ascii="Times New Roman" w:hAnsi="Times New Roman" w:cs="Times New Roman"/>
          <w:sz w:val="28"/>
          <w:szCs w:val="28"/>
          <w:lang w:val="uk-UA"/>
        </w:rPr>
        <w:t xml:space="preserve">стрімко </w:t>
      </w:r>
      <w:r w:rsidR="00FC164F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набирає обертів у світі. Відомі бізнесмені та аналітики </w:t>
      </w:r>
      <w:r w:rsidR="00666AC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вважають, що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найближчим часом світові фонди перестануть інвестувати в компанії, які ігнорують принципи сталого розвитку.</w:t>
      </w:r>
    </w:p>
    <w:p w14:paraId="32D8236E" w14:textId="247BE368" w:rsidR="00A27166" w:rsidRPr="00A27166" w:rsidRDefault="00B33405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ESG-тренд набув суто практичного значення через тиск інвесторів та банків. ESG-рейтинги, які формують незалежні дослідницькі та рейтингові агентства </w:t>
      </w:r>
      <w:r w:rsidR="00CC48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 Bloomberg, S&amp;P, Dow Jones та інші </w:t>
      </w:r>
      <w:r w:rsidR="00CC48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 все ширше використовуються інституційними інвесторами та кредиторами. Компанії оцінюються і отримують бали по трьом критеріям (E, S та G) і отримана кількість балів впливає на доходність цінних паперів, умови страхування, відсоткові ставки за кредитами тощо. Мати низький ESG-рейтинг </w:t>
      </w:r>
      <w:r w:rsidR="00E110AF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невигідно</w:t>
      </w:r>
      <w:r w:rsidR="00E110AF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для компанії, крім того, вона несе репутаційні ризики.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Попит на ESG примушує компанії рахуватися із принципами сталого розвитку. За результатами опитування EY, проведеного у 2020 році серед інституційних інвесторів, 98% опитаних підтвердили, що відслідковують ESG-рейтинги компаній, з якими мають ділові стосунки.</w:t>
      </w:r>
    </w:p>
    <w:p w14:paraId="6AB0FDFF" w14:textId="170542DE" w:rsidR="00A27166" w:rsidRPr="00A27166" w:rsidRDefault="00B77E3F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евним каталізатором </w:t>
      </w:r>
      <w:r w:rsidR="004813E0">
        <w:rPr>
          <w:rFonts w:ascii="Times New Roman" w:hAnsi="Times New Roman" w:cs="Times New Roman"/>
          <w:sz w:val="28"/>
          <w:szCs w:val="28"/>
          <w:lang w:val="uk-UA"/>
        </w:rPr>
        <w:t xml:space="preserve">виступив і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COVID-19, пришвидшивши інтеграцію ESG-принципів в операційні процеси компаній, необхідність перекалібрування економічних стратегій</w:t>
      </w:r>
      <w:r w:rsidR="00A067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4E29" w:rsidRPr="00AD2CEC">
        <w:rPr>
          <w:rFonts w:ascii="Times New Roman" w:hAnsi="Times New Roman" w:cs="Times New Roman"/>
          <w:sz w:val="28"/>
          <w:szCs w:val="28"/>
          <w:lang w:val="uk-UA"/>
        </w:rPr>
        <w:t>Панд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емія стала </w:t>
      </w:r>
      <w:r w:rsidR="00A0672F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демонстрацією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вразлив</w:t>
      </w:r>
      <w:r w:rsidR="00A0672F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людей щодо природного середовища, а також </w:t>
      </w:r>
      <w:r w:rsidR="00827975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необхідності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підвищення уваги до питань екології</w:t>
      </w:r>
      <w:r w:rsidR="00427729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Зокрема, мова йде про «зелений курс» та декарбонізацію для компаній в усьому світі. Це стає вимогою регуляторів та формує нові правила гри для бізнесу. Компанії у всьому світі вимушені модернізувати та переосмислювати свої бізнес-моделі із врахуванням кліматичних факторів.</w:t>
      </w:r>
    </w:p>
    <w:p w14:paraId="230D01F2" w14:textId="06EE2A55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Популярність ESG</w:t>
      </w:r>
      <w:r w:rsidR="00997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зростає з кожним роком. Експерти вважають, що це відбувається у тому числі через </w:t>
      </w:r>
      <w:r w:rsidR="00F202B6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свідомість </w:t>
      </w:r>
      <w:r w:rsidR="00C02925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покоління </w:t>
      </w:r>
      <w:r w:rsidR="00F61263" w:rsidRPr="00AD2CEC">
        <w:rPr>
          <w:rFonts w:ascii="Times New Roman" w:hAnsi="Times New Roman" w:cs="Times New Roman"/>
          <w:sz w:val="28"/>
          <w:szCs w:val="28"/>
          <w:lang w:val="uk-UA"/>
        </w:rPr>
        <w:t>“Y”</w:t>
      </w:r>
      <w:r w:rsidR="00312E27" w:rsidRPr="00AD2CEC">
        <w:rPr>
          <w:rFonts w:ascii="Times New Roman" w:hAnsi="Times New Roman" w:cs="Times New Roman"/>
          <w:sz w:val="28"/>
          <w:szCs w:val="28"/>
          <w:lang w:val="uk-UA"/>
        </w:rPr>
        <w:t>(м</w:t>
      </w:r>
      <w:r w:rsidR="00F61263" w:rsidRPr="00F61263">
        <w:rPr>
          <w:rFonts w:ascii="Times New Roman" w:hAnsi="Times New Roman" w:cs="Times New Roman"/>
          <w:sz w:val="28"/>
          <w:szCs w:val="28"/>
          <w:lang w:val="uk-UA"/>
        </w:rPr>
        <w:t>іленіал</w:t>
      </w:r>
      <w:r w:rsidR="00312E27" w:rsidRPr="00AD2CEC">
        <w:rPr>
          <w:rFonts w:ascii="Times New Roman" w:hAnsi="Times New Roman" w:cs="Times New Roman"/>
          <w:sz w:val="28"/>
          <w:szCs w:val="28"/>
          <w:lang w:val="uk-UA"/>
        </w:rPr>
        <w:t>ів)</w:t>
      </w:r>
      <w:r w:rsidR="0019002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Цінності цього покоління відрізняються від попереднього: для них бізнес та інвестиції — це не лише про дохід, а й про турботу про екологію та суспільство.</w:t>
      </w:r>
    </w:p>
    <w:p w14:paraId="45106061" w14:textId="2ED020CC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За прогнозами </w:t>
      </w:r>
      <w:hyperlink r:id="rId10" w:tgtFrame="_blank" w:history="1">
        <w:r w:rsidRPr="00A2716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дослідження PwC</w:t>
        </w:r>
      </w:hyperlink>
      <w:r w:rsidRPr="00A27166">
        <w:rPr>
          <w:rFonts w:ascii="Times New Roman" w:hAnsi="Times New Roman" w:cs="Times New Roman"/>
          <w:sz w:val="28"/>
          <w:szCs w:val="28"/>
          <w:lang w:val="uk-UA"/>
        </w:rPr>
        <w:t>, у 2025 році ринкова частка фондів ESG зросте до 57%, порівнюючи з 15% у 2019. Якщо бізнеси не будуть дотримуватися принципів ESG у своїй діяльності, то, цілком ймовірно, що вони зіштовхнуться з ризик</w:t>
      </w:r>
      <w:r w:rsidR="00464621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бути усуненими від глобального інвестиційного пулу та негативним впливом на їх ринкову капіталізацію.</w:t>
      </w:r>
    </w:p>
    <w:p w14:paraId="204E3D4F" w14:textId="1B511BF1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ESG </w:t>
      </w:r>
      <w:r w:rsidR="00CD57AC">
        <w:rPr>
          <w:rFonts w:ascii="Times New Roman" w:hAnsi="Times New Roman" w:cs="Times New Roman"/>
          <w:sz w:val="28"/>
          <w:szCs w:val="28"/>
          <w:lang w:val="uk-UA"/>
        </w:rPr>
        <w:t xml:space="preserve">в розвинутих економіках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світу активно </w:t>
      </w:r>
      <w:r w:rsidR="00CD57AC">
        <w:rPr>
          <w:rFonts w:ascii="Times New Roman" w:hAnsi="Times New Roman" w:cs="Times New Roman"/>
          <w:sz w:val="28"/>
          <w:szCs w:val="28"/>
          <w:lang w:val="uk-UA"/>
        </w:rPr>
        <w:t xml:space="preserve">впроваджується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на державному рівні. Одна з таких стратегій</w:t>
      </w:r>
      <w:r w:rsidR="00676AA4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«Європейський зелений курс» </w:t>
      </w:r>
      <w:r w:rsidR="00CD57A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European Green Deal</w:t>
      </w:r>
      <w:r w:rsidR="00CD57A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4598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створює переваги для експортерів до ЄС, які відповідають його вимогам. Однак, бізнеси з тих країн, які не «синхронізується» з ЄС в цьому питанні, отримують у CBAM додатковий бар'єр для конкурування на європейських ринках.</w:t>
      </w:r>
    </w:p>
    <w:p w14:paraId="3A5FEBB8" w14:textId="789CA5E8" w:rsidR="006820F2" w:rsidRDefault="00FD3D7B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C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 період трансформації світової економіки</w:t>
      </w:r>
      <w:r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бізнес має </w:t>
      </w:r>
      <w:r w:rsidR="000731A8" w:rsidRPr="00AD2CEC">
        <w:rPr>
          <w:rFonts w:ascii="Times New Roman" w:hAnsi="Times New Roman" w:cs="Times New Roman"/>
          <w:sz w:val="28"/>
          <w:szCs w:val="28"/>
          <w:lang w:val="uk-UA"/>
        </w:rPr>
        <w:t>усвідомити</w:t>
      </w:r>
      <w:r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1A8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прийняти аксіому -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виграє той, хто очолює невідворотні зміни. Перш за все, ці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зміни стосуватимуться впровадження вектору стійкого розвитку та підтримки Цілей сталого розвитку ООН, які є першими кроками до формування корпоративної ESG-повістки.</w:t>
      </w:r>
      <w:r w:rsidR="00447045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Компанії, які мають спільні цінності, матимуть більше можливостей до співпраці, адже діє принцип </w:t>
      </w:r>
      <w:r w:rsidR="00447045" w:rsidRPr="00AD2C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 свідомий бізнес обирає свідомий бізнес. За останній рік до Глобального договору в Україні (ГД ООН) приєдналися значна кількість українських компаній.</w:t>
      </w:r>
      <w:r w:rsidR="002D7A94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Взагалі Україна приєдналася до Глобального договору ООН</w:t>
      </w:r>
      <w:r w:rsidR="00876A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76A31" w:rsidRPr="00AD2CEC">
        <w:rPr>
          <w:rFonts w:ascii="Times New Roman" w:hAnsi="Times New Roman" w:cs="Times New Roman"/>
          <w:sz w:val="28"/>
          <w:szCs w:val="28"/>
          <w:lang w:val="uk-UA"/>
        </w:rPr>
        <w:t>найбільшої у світі спільноти відповідальних бізнесів</w:t>
      </w:r>
      <w:r w:rsidR="00876A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D7A94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у 2013 році</w:t>
      </w:r>
      <w:r w:rsidR="00876A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7A94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Наразі українська мережа налічує </w:t>
      </w:r>
      <w:r w:rsidR="0061797B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більше ста </w:t>
      </w:r>
      <w:r w:rsidR="002D7A94" w:rsidRPr="00AD2CEC">
        <w:rPr>
          <w:rFonts w:ascii="Times New Roman" w:hAnsi="Times New Roman" w:cs="Times New Roman"/>
          <w:sz w:val="28"/>
          <w:szCs w:val="28"/>
          <w:lang w:val="uk-UA"/>
        </w:rPr>
        <w:t>учасників, включаючи Uklon, ЦУМ та Нову пошту.</w:t>
      </w:r>
      <w:r w:rsidR="0061797B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125" w:rsidRPr="00AD2CEC">
        <w:rPr>
          <w:rFonts w:ascii="Times New Roman" w:hAnsi="Times New Roman" w:cs="Times New Roman"/>
          <w:sz w:val="28"/>
          <w:szCs w:val="28"/>
          <w:lang w:val="uk-UA"/>
        </w:rPr>
        <w:t>Мета приєднання до Глобального договору ООН – дотримуватись </w:t>
      </w:r>
      <w:hyperlink r:id="rId11" w:tgtFrame="_blank" w:history="1">
        <w:r w:rsidR="00562125" w:rsidRPr="00AD2CE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Цілей сталого розвитку</w:t>
        </w:r>
      </w:hyperlink>
      <w:r w:rsidR="00562125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 в ході післявоєнної відбудови України та </w:t>
      </w:r>
      <w:r w:rsidR="00876A31">
        <w:rPr>
          <w:rFonts w:ascii="Times New Roman" w:hAnsi="Times New Roman" w:cs="Times New Roman"/>
          <w:sz w:val="28"/>
          <w:szCs w:val="28"/>
          <w:lang w:val="uk-UA"/>
        </w:rPr>
        <w:t xml:space="preserve">залучити </w:t>
      </w:r>
      <w:r w:rsidR="00562125" w:rsidRPr="00AD2CEC">
        <w:rPr>
          <w:rFonts w:ascii="Times New Roman" w:hAnsi="Times New Roman" w:cs="Times New Roman"/>
          <w:sz w:val="28"/>
          <w:szCs w:val="28"/>
          <w:lang w:val="uk-UA"/>
        </w:rPr>
        <w:t>найкращі практики у сфери прав людини, захисту довкілля та боротьби з корупцією.</w:t>
      </w:r>
      <w:r w:rsidR="008D1047" w:rsidRPr="00AD2C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D1047" w:rsidRPr="00AD2CEC">
        <w:rPr>
          <w:rFonts w:ascii="Times New Roman" w:hAnsi="Times New Roman" w:cs="Times New Roman"/>
          <w:sz w:val="28"/>
          <w:szCs w:val="28"/>
          <w:lang w:val="uk-UA"/>
        </w:rPr>
        <w:t>Бізнеси, які приєднуються до Глобального договору ООН, отримують доступ до освітньої бази, спеціалізованих інструментів оцінки компанії, міжнародних ініціатив та подій, а також репутаційні переваги та покращення фінансових й корпоративних показників. </w:t>
      </w:r>
      <w:r w:rsidR="002D7A94" w:rsidRPr="002D7A94">
        <w:rPr>
          <w:rFonts w:ascii="Times New Roman" w:hAnsi="Times New Roman" w:cs="Times New Roman"/>
          <w:sz w:val="28"/>
          <w:szCs w:val="28"/>
          <w:lang w:val="uk-UA"/>
        </w:rPr>
        <w:t>Нещодавно до Глобального договору ООН приєдналася перша українська компанія в галузі сонячної енергетики – Atmosfera</w:t>
      </w:r>
      <w:r w:rsidR="0061797B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44AF">
        <w:rPr>
          <w:rFonts w:ascii="Times New Roman" w:hAnsi="Times New Roman" w:cs="Times New Roman"/>
          <w:sz w:val="28"/>
          <w:szCs w:val="28"/>
          <w:lang w:val="uk-UA"/>
        </w:rPr>
        <w:t xml:space="preserve">мотивами </w:t>
      </w:r>
      <w:r w:rsidR="00830C52">
        <w:rPr>
          <w:rFonts w:ascii="Times New Roman" w:hAnsi="Times New Roman" w:cs="Times New Roman"/>
          <w:sz w:val="28"/>
          <w:szCs w:val="28"/>
          <w:lang w:val="uk-UA"/>
        </w:rPr>
        <w:t xml:space="preserve">такого приєднання </w:t>
      </w:r>
      <w:r w:rsidR="00EA44AF">
        <w:rPr>
          <w:rFonts w:ascii="Times New Roman" w:hAnsi="Times New Roman" w:cs="Times New Roman"/>
          <w:sz w:val="28"/>
          <w:szCs w:val="28"/>
          <w:lang w:val="uk-UA"/>
        </w:rPr>
        <w:t xml:space="preserve">було те, що </w:t>
      </w:r>
      <w:r w:rsidR="0013084E" w:rsidRPr="00AD2CE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D7A94" w:rsidRPr="002D7A94">
        <w:rPr>
          <w:rFonts w:ascii="Times New Roman" w:hAnsi="Times New Roman" w:cs="Times New Roman"/>
          <w:sz w:val="28"/>
          <w:szCs w:val="28"/>
          <w:lang w:val="uk-UA"/>
        </w:rPr>
        <w:t>ізнеси мають приносити не тільки прибуток, а і суспільну користь</w:t>
      </w:r>
      <w:r w:rsidR="0013084E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7A94" w:rsidRPr="002D7A94">
        <w:rPr>
          <w:rFonts w:ascii="Times New Roman" w:hAnsi="Times New Roman" w:cs="Times New Roman"/>
          <w:sz w:val="28"/>
          <w:szCs w:val="28"/>
          <w:lang w:val="uk-UA"/>
        </w:rPr>
        <w:t>зосереджувати зусилля навколо безпечного майбутнього</w:t>
      </w:r>
      <w:r w:rsidR="007902B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</w:t>
      </w:r>
      <w:r w:rsidR="00DB683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D7A94" w:rsidRPr="002D7A94">
        <w:rPr>
          <w:rFonts w:ascii="Times New Roman" w:hAnsi="Times New Roman" w:cs="Times New Roman"/>
          <w:sz w:val="28"/>
          <w:szCs w:val="28"/>
          <w:lang w:val="uk-UA"/>
        </w:rPr>
        <w:t>збереженого навколишнього середовища</w:t>
      </w:r>
      <w:r w:rsidR="00DB68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A94" w:rsidRPr="002D7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AFF070" w14:textId="7CA8464B" w:rsidR="00122E1B" w:rsidRPr="00122E1B" w:rsidRDefault="004103AB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Політика ще однієї </w:t>
      </w:r>
      <w:r w:rsidR="00DB6831">
        <w:rPr>
          <w:rFonts w:ascii="Times New Roman" w:hAnsi="Times New Roman" w:cs="Times New Roman"/>
          <w:sz w:val="28"/>
          <w:szCs w:val="28"/>
          <w:lang w:val="uk-UA"/>
        </w:rPr>
        <w:t xml:space="preserve">відомої української компанії </w:t>
      </w:r>
      <w:r w:rsidR="00BB4ECE" w:rsidRPr="00AD2CEC">
        <w:rPr>
          <w:rFonts w:ascii="Times New Roman" w:hAnsi="Times New Roman" w:cs="Times New Roman"/>
          <w:sz w:val="28"/>
          <w:szCs w:val="28"/>
          <w:lang w:val="uk-UA"/>
        </w:rPr>
        <w:t>ДТЕК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</w:t>
      </w:r>
      <w:r w:rsidR="002D0908" w:rsidRPr="00AD2CE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B4ECE" w:rsidRPr="00AD2CEC">
        <w:rPr>
          <w:rFonts w:ascii="Times New Roman" w:hAnsi="Times New Roman" w:cs="Times New Roman"/>
          <w:sz w:val="28"/>
          <w:szCs w:val="28"/>
          <w:lang w:val="uk-UA"/>
        </w:rPr>
        <w:t>омпанія не може бути успішною у довгостроковій перспективі, якщо не впроваджує в свою роботу принципи ESG</w:t>
      </w:r>
      <w:r w:rsidR="003D1E0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12" w:tgtFrame="_blank" w:history="1">
        <w:r w:rsidR="00BB4ECE" w:rsidRPr="00AD2CE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ДТЕК</w:t>
        </w:r>
      </w:hyperlink>
      <w:r w:rsidR="00BB4ECE" w:rsidRPr="00AD2CEC">
        <w:rPr>
          <w:rFonts w:ascii="Times New Roman" w:hAnsi="Times New Roman" w:cs="Times New Roman"/>
          <w:sz w:val="28"/>
          <w:szCs w:val="28"/>
          <w:lang w:val="uk-UA"/>
        </w:rPr>
        <w:t> – одна з п’яти українських компаній, що мають рейтинг ESG</w:t>
      </w:r>
      <w:r w:rsidR="00BB4ECE" w:rsidRPr="00AD2CEC">
        <w:rPr>
          <w:rFonts w:ascii="Times New Roman" w:hAnsi="Times New Roman" w:cs="Times New Roman"/>
          <w:sz w:val="28"/>
          <w:szCs w:val="28"/>
          <w:lang w:val="uk-UA"/>
        </w:rPr>
        <w:noBreakHyphen/>
        <w:t>ризиків аналітичної компанії Sustainalytics. Ризики ДТЕК оцінюються як середні, з показником 26,6 компанія посідає 133</w:t>
      </w:r>
      <w:r w:rsidR="00BB4ECE" w:rsidRPr="00AD2CEC">
        <w:rPr>
          <w:rFonts w:ascii="Times New Roman" w:hAnsi="Times New Roman" w:cs="Times New Roman"/>
          <w:sz w:val="28"/>
          <w:szCs w:val="28"/>
          <w:lang w:val="uk-UA"/>
        </w:rPr>
        <w:noBreakHyphen/>
        <w:t>тє місце з 613 у категорії Utilities.</w:t>
      </w:r>
      <w:r w:rsidR="00122E1B" w:rsidRPr="00AD2C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137CB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Так, </w:t>
      </w:r>
      <w:r w:rsidR="00122E1B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Метінвест» звітує щодо ESG </w:t>
      </w:r>
      <w:r w:rsidR="006B0B1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вже декілька років. </w:t>
      </w:r>
      <w:r w:rsidR="00037084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у </w:t>
      </w:r>
      <w:r w:rsidR="00122E1B" w:rsidRPr="00AD2CEC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6B0B1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року: </w:t>
      </w:r>
      <w:r w:rsidR="00122E1B" w:rsidRPr="00AD2CEC">
        <w:rPr>
          <w:rFonts w:ascii="Times New Roman" w:hAnsi="Times New Roman" w:cs="Times New Roman"/>
          <w:sz w:val="28"/>
          <w:szCs w:val="28"/>
          <w:lang w:val="uk-UA"/>
        </w:rPr>
        <w:t>компанія витратила $450 млн на проєкти, пов’язані з екологією, $100 млн – на охорону праці та промислову безпеку, $3 млн – на розвиток персоналу.</w:t>
      </w:r>
      <w:r w:rsidR="00880EE2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E1B" w:rsidRPr="00122E1B">
        <w:rPr>
          <w:rFonts w:ascii="Times New Roman" w:hAnsi="Times New Roman" w:cs="Times New Roman"/>
          <w:sz w:val="28"/>
          <w:szCs w:val="28"/>
          <w:lang w:val="uk-UA"/>
        </w:rPr>
        <w:t>У ESG</w:t>
      </w:r>
      <w:r w:rsidR="00122E1B" w:rsidRPr="00122E1B">
        <w:rPr>
          <w:rFonts w:ascii="Times New Roman" w:hAnsi="Times New Roman" w:cs="Times New Roman"/>
          <w:sz w:val="28"/>
          <w:szCs w:val="28"/>
          <w:lang w:val="uk-UA"/>
        </w:rPr>
        <w:noBreakHyphen/>
        <w:t>стратегію ДТЕК інтегровано 12 із 17 цілей сталого розвитку ООН. Свої витрати на її реалізацію у 2020 році компанія оцінила в 3 млрд грн (соціальні виплати співробітникам, охорона праці, навчання персоналу, екологічні програми).</w:t>
      </w:r>
      <w:r w:rsidR="0003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E1B" w:rsidRPr="00122E1B">
        <w:rPr>
          <w:rFonts w:ascii="Times New Roman" w:hAnsi="Times New Roman" w:cs="Times New Roman"/>
          <w:sz w:val="28"/>
          <w:szCs w:val="28"/>
          <w:lang w:val="uk-UA"/>
        </w:rPr>
        <w:t>У 2019 році ДТЕК випустив «зелені» облігації на 325 млн</w:t>
      </w:r>
      <w:r w:rsidR="008A07EB">
        <w:rPr>
          <w:rFonts w:ascii="Times New Roman" w:hAnsi="Times New Roman" w:cs="Times New Roman"/>
          <w:sz w:val="28"/>
          <w:szCs w:val="28"/>
          <w:lang w:val="uk-UA"/>
        </w:rPr>
        <w:t xml:space="preserve"> євро</w:t>
      </w:r>
      <w:r w:rsidR="00122E1B" w:rsidRPr="00122E1B">
        <w:rPr>
          <w:rFonts w:ascii="Times New Roman" w:hAnsi="Times New Roman" w:cs="Times New Roman"/>
          <w:sz w:val="28"/>
          <w:szCs w:val="28"/>
          <w:lang w:val="uk-UA"/>
        </w:rPr>
        <w:t xml:space="preserve"> під 8,5% на п’ять років</w:t>
      </w:r>
      <w:r w:rsidR="008A7C86">
        <w:rPr>
          <w:rFonts w:ascii="Times New Roman" w:hAnsi="Times New Roman" w:cs="Times New Roman"/>
          <w:sz w:val="28"/>
          <w:szCs w:val="28"/>
          <w:lang w:val="uk-UA"/>
        </w:rPr>
        <w:t xml:space="preserve">, за що </w:t>
      </w:r>
      <w:r w:rsidR="000769E2" w:rsidRPr="000769E2">
        <w:rPr>
          <w:rFonts w:ascii="Times New Roman" w:hAnsi="Times New Roman" w:cs="Times New Roman"/>
          <w:sz w:val="28"/>
          <w:szCs w:val="28"/>
        </w:rPr>
        <w:t xml:space="preserve">отримала нагороду «New Market Green Pioneer» від Climate Bonds Initiative (CBI) за перший випуск </w:t>
      </w:r>
      <w:r w:rsidR="00F96F62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0769E2" w:rsidRPr="000769E2">
        <w:rPr>
          <w:rFonts w:ascii="Times New Roman" w:hAnsi="Times New Roman" w:cs="Times New Roman"/>
          <w:sz w:val="28"/>
          <w:szCs w:val="28"/>
        </w:rPr>
        <w:t>облігацій серед українських компаній.</w:t>
      </w:r>
    </w:p>
    <w:p w14:paraId="23E89EBA" w14:textId="6BA75A7C" w:rsidR="00A27166" w:rsidRPr="00A27166" w:rsidRDefault="00BE66BA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CEC">
        <w:rPr>
          <w:rFonts w:ascii="Times New Roman" w:hAnsi="Times New Roman" w:cs="Times New Roman"/>
          <w:sz w:val="28"/>
          <w:szCs w:val="28"/>
          <w:lang w:val="uk-UA"/>
        </w:rPr>
        <w:t>Отже, б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ізнес, який претендує на хорошу ESG-оцінку, має відповідати стандартам розвитку у трьох категоріях: соціальній, управлінській та екологічній.</w:t>
      </w:r>
    </w:p>
    <w:p w14:paraId="5157D6F7" w14:textId="506BEDB0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Екологічні принципи визначають, наскільки компанія дбає про навколишнє середовище і як намагається скоротити збитки, які завдають екології.</w:t>
      </w:r>
      <w:r w:rsidR="008D1047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Наприклад, бренд взуття Timberland співпрацює з виробником шин Omni United і робить підошви черевиків із перероблених шин.</w:t>
      </w:r>
    </w:p>
    <w:p w14:paraId="47E874D6" w14:textId="11E47733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принципи показують ставлення компанії до персоналу, постачальників, клієнтів, партнерів та споживачів. Щоб відповідати стандартам, бізнес повинен працювати над якістю умов праці, стежити за гендерним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балансом чи інвестувати у соціальні проекти.</w:t>
      </w:r>
      <w:r w:rsidR="007A061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американський бренд верхнього одягу Patagonia не володіє фабриками, які шиють його продукцію, тому не може впливати на розмір зарплати робітників. Щоб це виправити, у рамках програми «Чесна торгівля» бренд спрямовує частину коштів із продажу продукції на фабрики, щоб підвищити зарплату працівників до рівня прожиткового мінімуму.</w:t>
      </w:r>
    </w:p>
    <w:p w14:paraId="3BD70491" w14:textId="334CC453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Управлінські принципи торкаються якості управління компаніями: прозорість звітності, зарплати менеджменту, здорову обстановку в офісах, відносини з акціонерами, антикорупційні заходи.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E323EF" w14:textId="422C6362" w:rsidR="00A27166" w:rsidRPr="00A27166" w:rsidRDefault="00A27166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166">
        <w:rPr>
          <w:rFonts w:ascii="Times New Roman" w:hAnsi="Times New Roman" w:cs="Times New Roman"/>
          <w:sz w:val="28"/>
          <w:szCs w:val="28"/>
          <w:lang w:val="uk-UA"/>
        </w:rPr>
        <w:t>Підвищений попит на ESG змушує компанії зважати на принципи сталого розвитку. Тепер через тиск інвесторів і банків їм невигідно мати низький ESG-рейтинг.</w:t>
      </w:r>
      <w:r w:rsidR="00682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1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 багато прикладів успішних корпорацій, що орієнтуються на принципи ESG. </w:t>
      </w:r>
      <w:r w:rsidR="00B66F92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8123AE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у 2021 році до першої п'ятірки вход</w:t>
      </w:r>
      <w:r w:rsidR="00684539" w:rsidRPr="00AD2CEC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66F92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Французька машинобудівна компанія "Schneider Electric"</w:t>
      </w:r>
      <w:r w:rsidR="00991E0E" w:rsidRPr="00AD2CE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66F92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2)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Данська транснаціональна енергетична компанія Ørsted A/S</w:t>
      </w:r>
      <w:r w:rsidR="008123AE" w:rsidRPr="00AD2CE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D174E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Національний банк Бразилії Banco do Brasil SA</w:t>
      </w:r>
      <w:r w:rsidR="008123AE" w:rsidRPr="00AD2CE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D174E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4)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Фінська нафтогазова компанія Neste Oyj</w:t>
      </w:r>
      <w:r w:rsidR="008123AE" w:rsidRPr="00AD2CE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D174E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5) </w:t>
      </w:r>
      <w:r w:rsidRPr="00A27166">
        <w:rPr>
          <w:rFonts w:ascii="Times New Roman" w:hAnsi="Times New Roman" w:cs="Times New Roman"/>
          <w:sz w:val="28"/>
          <w:szCs w:val="28"/>
          <w:lang w:val="uk-UA"/>
        </w:rPr>
        <w:t>Міжнародна компанія професійних послуг у галузі дизайну, архітектури та консалтингу Stantec Inc.</w:t>
      </w:r>
    </w:p>
    <w:p w14:paraId="47F818D1" w14:textId="01453FED" w:rsidR="00392E0A" w:rsidRPr="00AD2CEC" w:rsidRDefault="00727749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нашій країні</w:t>
      </w:r>
      <w:r w:rsidR="005445D0">
        <w:rPr>
          <w:rFonts w:ascii="Times New Roman" w:hAnsi="Times New Roman" w:cs="Times New Roman"/>
          <w:sz w:val="28"/>
          <w:szCs w:val="28"/>
          <w:lang w:val="uk-UA"/>
        </w:rPr>
        <w:t xml:space="preserve"> зараз </w:t>
      </w:r>
      <w:r w:rsidR="0081759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йде війна і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ESG не </w:t>
      </w:r>
      <w:r w:rsidR="00EB3BA7">
        <w:rPr>
          <w:rFonts w:ascii="Times New Roman" w:hAnsi="Times New Roman" w:cs="Times New Roman"/>
          <w:sz w:val="28"/>
          <w:szCs w:val="28"/>
          <w:lang w:val="uk-UA"/>
        </w:rPr>
        <w:t xml:space="preserve">так широко застосовуються, як могли б за нормального стану речей. </w:t>
      </w:r>
      <w:r w:rsidR="00AC5756" w:rsidRPr="00AD2CEC"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="00CC4D4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756" w:rsidRPr="00AD2CEC">
        <w:rPr>
          <w:rFonts w:ascii="Times New Roman" w:hAnsi="Times New Roman" w:cs="Times New Roman"/>
          <w:sz w:val="28"/>
          <w:szCs w:val="28"/>
          <w:lang w:val="uk-UA"/>
        </w:rPr>
        <w:t>обізнаності</w:t>
      </w:r>
      <w:r w:rsidR="00CC4D4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3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1367" w:rsidRPr="00801367">
        <w:rPr>
          <w:rFonts w:ascii="Times New Roman" w:hAnsi="Times New Roman" w:cs="Times New Roman"/>
          <w:sz w:val="28"/>
          <w:szCs w:val="28"/>
        </w:rPr>
        <w:t>правлінськ</w:t>
      </w:r>
      <w:r w:rsidR="00801367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801367" w:rsidRPr="00801367">
        <w:rPr>
          <w:rFonts w:ascii="Times New Roman" w:hAnsi="Times New Roman" w:cs="Times New Roman"/>
          <w:sz w:val="28"/>
          <w:szCs w:val="28"/>
        </w:rPr>
        <w:t>еліт</w:t>
      </w:r>
      <w:r w:rsidR="0080136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C4D4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більшості українських компаній демонструє, що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мало хто може розшифрувати цю абревіатуру</w:t>
      </w:r>
      <w:r w:rsidR="00B20E5A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, незначна кількість топ-менеджерів знає про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цілі сталого розвитку</w:t>
      </w:r>
      <w:r w:rsidR="0045518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 лише одиниці розуміють, що це означає на практиці.</w:t>
      </w:r>
      <w:r w:rsidR="00A638A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18B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у всіх одне </w:t>
      </w:r>
      <w:r w:rsidR="00A638AD" w:rsidRPr="00AD2C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3F373D">
        <w:rPr>
          <w:rFonts w:ascii="Times New Roman" w:hAnsi="Times New Roman" w:cs="Times New Roman"/>
          <w:sz w:val="28"/>
          <w:szCs w:val="28"/>
          <w:lang w:val="uk-UA"/>
        </w:rPr>
        <w:t>на часі</w:t>
      </w:r>
      <w:r w:rsidR="00A27166" w:rsidRPr="00A27166">
        <w:rPr>
          <w:rFonts w:ascii="Times New Roman" w:hAnsi="Times New Roman" w:cs="Times New Roman"/>
          <w:sz w:val="28"/>
          <w:szCs w:val="28"/>
          <w:lang w:val="uk-UA"/>
        </w:rPr>
        <w:t>, вистачає інших проблем, немає мотивації тощо.</w:t>
      </w:r>
      <w:r w:rsidR="00455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8AD" w:rsidRPr="00AD2CEC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392E0A" w:rsidRPr="00AD2CEC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 w:rsidR="00A638A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0A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5-10 років тому відповідальність бізнесу була «родзинкою», «приємним бонусом», а тема sustainable була відомою лише вузькому колу експертів, то тепер це необхідна умова, якщо компанія хоче виживати, конкурувати з іншими ще й отримувати прибуток. Виробництво продукції, кількість застосування пластику, екологічний слід, умови праці робітників </w:t>
      </w:r>
      <w:r w:rsidR="00A90BE8" w:rsidRPr="00AD2C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2E0A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стали </w:t>
      </w:r>
      <w:r w:rsidR="00396990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пріоритетами в </w:t>
      </w:r>
      <w:r w:rsidR="000E2103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європейському </w:t>
      </w:r>
      <w:r w:rsidR="00396990">
        <w:rPr>
          <w:rFonts w:ascii="Times New Roman" w:hAnsi="Times New Roman" w:cs="Times New Roman"/>
          <w:sz w:val="28"/>
          <w:szCs w:val="28"/>
          <w:lang w:val="uk-UA"/>
        </w:rPr>
        <w:t xml:space="preserve">бізнесі. </w:t>
      </w:r>
      <w:r w:rsidR="00392E0A" w:rsidRPr="00392E0A">
        <w:rPr>
          <w:rFonts w:ascii="Times New Roman" w:hAnsi="Times New Roman" w:cs="Times New Roman"/>
          <w:sz w:val="28"/>
          <w:szCs w:val="28"/>
          <w:lang w:val="uk-UA"/>
        </w:rPr>
        <w:t xml:space="preserve">У квітні </w:t>
      </w:r>
      <w:r w:rsidR="00A90BE8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2024 року </w:t>
      </w:r>
      <w:r w:rsidR="00392E0A" w:rsidRPr="00392E0A">
        <w:rPr>
          <w:rFonts w:ascii="Times New Roman" w:hAnsi="Times New Roman" w:cs="Times New Roman"/>
          <w:sz w:val="28"/>
          <w:szCs w:val="28"/>
          <w:lang w:val="uk-UA"/>
        </w:rPr>
        <w:t>комісія ЄС </w:t>
      </w:r>
      <w:hyperlink r:id="rId13" w:tgtFrame="_blank" w:history="1">
        <w:r w:rsidR="00392E0A" w:rsidRPr="00392E0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узгодила</w:t>
        </w:r>
      </w:hyperlink>
      <w:r w:rsidR="00392E0A" w:rsidRPr="00392E0A">
        <w:rPr>
          <w:rFonts w:ascii="Times New Roman" w:hAnsi="Times New Roman" w:cs="Times New Roman"/>
          <w:sz w:val="28"/>
          <w:szCs w:val="28"/>
          <w:lang w:val="uk-UA"/>
        </w:rPr>
        <w:t> кліматичний закон</w:t>
      </w:r>
      <w:r w:rsidR="00A90BE8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392E0A" w:rsidRPr="00392E0A">
        <w:rPr>
          <w:rFonts w:ascii="Times New Roman" w:hAnsi="Times New Roman" w:cs="Times New Roman"/>
          <w:sz w:val="28"/>
          <w:szCs w:val="28"/>
          <w:lang w:val="uk-UA"/>
        </w:rPr>
        <w:t xml:space="preserve">означає, що </w:t>
      </w:r>
      <w:r w:rsidR="009239BE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бізнес </w:t>
      </w:r>
      <w:r w:rsidR="00392E0A" w:rsidRPr="00392E0A">
        <w:rPr>
          <w:rFonts w:ascii="Times New Roman" w:hAnsi="Times New Roman" w:cs="Times New Roman"/>
          <w:sz w:val="28"/>
          <w:szCs w:val="28"/>
          <w:lang w:val="uk-UA"/>
        </w:rPr>
        <w:t xml:space="preserve">в одному кроці від перетворення кліматичних цілей на юридичні </w:t>
      </w:r>
      <w:r w:rsidR="00AC5756" w:rsidRPr="00392E0A">
        <w:rPr>
          <w:rFonts w:ascii="Times New Roman" w:hAnsi="Times New Roman" w:cs="Times New Roman"/>
          <w:sz w:val="28"/>
          <w:szCs w:val="28"/>
          <w:lang w:val="uk-UA"/>
        </w:rPr>
        <w:t>зобов’язання</w:t>
      </w:r>
      <w:r w:rsidR="00392E0A" w:rsidRPr="00392E0A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14:paraId="35205AC4" w14:textId="33DD2427" w:rsidR="0074622C" w:rsidRPr="00392E0A" w:rsidRDefault="00193135" w:rsidP="00AD37C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CEC">
        <w:rPr>
          <w:rFonts w:ascii="Times New Roman" w:hAnsi="Times New Roman" w:cs="Times New Roman"/>
          <w:sz w:val="28"/>
          <w:szCs w:val="28"/>
          <w:lang w:val="uk-UA"/>
        </w:rPr>
        <w:t>Отже, с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тупінь імплементації ESG </w:t>
      </w:r>
      <w:r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національним бізнесом 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прямо залежить від глобальних тенденцій розвитку ринку відповідального інвестування, а також від викликів поточного періоду, зокрема активної фази повномасштабної російсько-української війни. Все це вимагає від українських компаній пошуку та впровадження ефективних ESG стратегій, здатних забезпечити </w:t>
      </w:r>
      <w:r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екологічну безпеку, 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>управлінську доброчесність та соціальну стабільність як ключов</w:t>
      </w:r>
      <w:r w:rsidR="00665DE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критерії</w:t>
      </w:r>
      <w:r w:rsidR="00665D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оцінки бізнесу. </w:t>
      </w:r>
      <w:r w:rsidR="007759BD" w:rsidRPr="00AD2C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ростання </w:t>
      </w:r>
      <w:r w:rsidR="007759BD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інтересу 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>інвесторів, клієнтів, партнерів у впровадженні ESG-</w:t>
      </w:r>
      <w:r w:rsidR="005565A7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принципів 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>компаніями актуалізує значущість цього підходу в контексті розбудови інвестиційного клімату держави</w:t>
      </w:r>
      <w:r w:rsidR="00AB33C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</w:t>
      </w:r>
      <w:r w:rsidR="0074622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в повоєнний період, </w:t>
      </w:r>
      <w:r w:rsidR="00AB33CC" w:rsidRPr="00AD2CEC">
        <w:rPr>
          <w:rFonts w:ascii="Times New Roman" w:hAnsi="Times New Roman" w:cs="Times New Roman"/>
          <w:sz w:val="28"/>
          <w:szCs w:val="28"/>
          <w:lang w:val="uk-UA"/>
        </w:rPr>
        <w:t>коли нашій країн</w:t>
      </w:r>
      <w:r w:rsidR="006806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33C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треба буде продемонструвати саме європейський </w:t>
      </w:r>
      <w:r w:rsidR="00AC5756" w:rsidRPr="00AD2CEC">
        <w:rPr>
          <w:rFonts w:ascii="Times New Roman" w:hAnsi="Times New Roman" w:cs="Times New Roman"/>
          <w:sz w:val="28"/>
          <w:szCs w:val="28"/>
          <w:lang w:val="uk-UA"/>
        </w:rPr>
        <w:t>цивілізований</w:t>
      </w:r>
      <w:r w:rsidR="00AF52B4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3CC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підхід у веденні бізнесу, </w:t>
      </w:r>
      <w:r w:rsidR="00AF52B4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свідомість щодо екологічної </w:t>
      </w:r>
      <w:r w:rsidR="00AE4B09" w:rsidRPr="00AD2CEC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B66C9F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, підтримки «зеленого курсу» </w:t>
      </w:r>
      <w:r w:rsidR="00AE4B09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у розвитку економіки, </w:t>
      </w:r>
      <w:r w:rsidR="005C23C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кращих </w:t>
      </w:r>
      <w:r w:rsidR="00AC5756" w:rsidRPr="00AD2CEC">
        <w:rPr>
          <w:rFonts w:ascii="Times New Roman" w:hAnsi="Times New Roman" w:cs="Times New Roman"/>
          <w:sz w:val="28"/>
          <w:szCs w:val="28"/>
          <w:lang w:val="uk-UA"/>
        </w:rPr>
        <w:t>європейських</w:t>
      </w:r>
      <w:r w:rsidR="005C23C3" w:rsidRPr="00AD2CEC">
        <w:rPr>
          <w:rFonts w:ascii="Times New Roman" w:hAnsi="Times New Roman" w:cs="Times New Roman"/>
          <w:sz w:val="28"/>
          <w:szCs w:val="28"/>
          <w:lang w:val="uk-UA"/>
        </w:rPr>
        <w:t xml:space="preserve"> практик щодо управляння корпораціями. </w:t>
      </w:r>
    </w:p>
    <w:p w14:paraId="78CC5565" w14:textId="13DCEEA2" w:rsidR="00A638AD" w:rsidRPr="00A27166" w:rsidRDefault="00A638AD" w:rsidP="00AD37CE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19BD42" w14:textId="77777777" w:rsidR="00CE5918" w:rsidRPr="00AD2CEC" w:rsidRDefault="00CE5918" w:rsidP="00AD37CE">
      <w:pPr>
        <w:spacing w:after="0" w:line="23" w:lineRule="atLeast"/>
        <w:rPr>
          <w:lang w:val="uk-UA"/>
        </w:rPr>
      </w:pPr>
    </w:p>
    <w:sectPr w:rsidR="00CE5918" w:rsidRPr="00AD2CEC" w:rsidSect="006A72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A4635"/>
    <w:multiLevelType w:val="hybridMultilevel"/>
    <w:tmpl w:val="5A444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65D86"/>
    <w:multiLevelType w:val="hybridMultilevel"/>
    <w:tmpl w:val="5614900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AEF"/>
    <w:multiLevelType w:val="multilevel"/>
    <w:tmpl w:val="386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817695">
    <w:abstractNumId w:val="2"/>
  </w:num>
  <w:num w:numId="2" w16cid:durableId="232392272">
    <w:abstractNumId w:val="0"/>
  </w:num>
  <w:num w:numId="3" w16cid:durableId="132409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5"/>
    <w:rsid w:val="0003583B"/>
    <w:rsid w:val="00037084"/>
    <w:rsid w:val="000731A8"/>
    <w:rsid w:val="000769E2"/>
    <w:rsid w:val="000909AC"/>
    <w:rsid w:val="00092990"/>
    <w:rsid w:val="000D3CD0"/>
    <w:rsid w:val="000D5116"/>
    <w:rsid w:val="000D5254"/>
    <w:rsid w:val="000E2103"/>
    <w:rsid w:val="000E2ADF"/>
    <w:rsid w:val="00122E1B"/>
    <w:rsid w:val="0013084E"/>
    <w:rsid w:val="00137CBD"/>
    <w:rsid w:val="00165705"/>
    <w:rsid w:val="00180EA8"/>
    <w:rsid w:val="00185722"/>
    <w:rsid w:val="00190023"/>
    <w:rsid w:val="00193135"/>
    <w:rsid w:val="002221A3"/>
    <w:rsid w:val="002371FA"/>
    <w:rsid w:val="002653CF"/>
    <w:rsid w:val="002D0908"/>
    <w:rsid w:val="002D4797"/>
    <w:rsid w:val="002D7A94"/>
    <w:rsid w:val="00306537"/>
    <w:rsid w:val="00312E27"/>
    <w:rsid w:val="00333700"/>
    <w:rsid w:val="003625FC"/>
    <w:rsid w:val="003734C0"/>
    <w:rsid w:val="00392E0A"/>
    <w:rsid w:val="00396990"/>
    <w:rsid w:val="003D1E06"/>
    <w:rsid w:val="003F373D"/>
    <w:rsid w:val="004103AB"/>
    <w:rsid w:val="00427729"/>
    <w:rsid w:val="00447045"/>
    <w:rsid w:val="0045518B"/>
    <w:rsid w:val="004623F2"/>
    <w:rsid w:val="00464621"/>
    <w:rsid w:val="004649E8"/>
    <w:rsid w:val="004813E0"/>
    <w:rsid w:val="004C0592"/>
    <w:rsid w:val="004D513A"/>
    <w:rsid w:val="004E7BD0"/>
    <w:rsid w:val="004F5F3C"/>
    <w:rsid w:val="005444B5"/>
    <w:rsid w:val="005445D0"/>
    <w:rsid w:val="005565A7"/>
    <w:rsid w:val="00562125"/>
    <w:rsid w:val="005C23C3"/>
    <w:rsid w:val="00611170"/>
    <w:rsid w:val="00615A9F"/>
    <w:rsid w:val="0061797B"/>
    <w:rsid w:val="00624947"/>
    <w:rsid w:val="00636E0E"/>
    <w:rsid w:val="0065164D"/>
    <w:rsid w:val="00665DE3"/>
    <w:rsid w:val="00666ACD"/>
    <w:rsid w:val="00676AA4"/>
    <w:rsid w:val="00680620"/>
    <w:rsid w:val="00680A72"/>
    <w:rsid w:val="006820F2"/>
    <w:rsid w:val="00682238"/>
    <w:rsid w:val="00684539"/>
    <w:rsid w:val="00694EDB"/>
    <w:rsid w:val="006A721C"/>
    <w:rsid w:val="006B0B1D"/>
    <w:rsid w:val="006D0515"/>
    <w:rsid w:val="006D1830"/>
    <w:rsid w:val="006E0195"/>
    <w:rsid w:val="006F6F5A"/>
    <w:rsid w:val="00714598"/>
    <w:rsid w:val="007242DE"/>
    <w:rsid w:val="00727749"/>
    <w:rsid w:val="00736315"/>
    <w:rsid w:val="00744DD5"/>
    <w:rsid w:val="0074622C"/>
    <w:rsid w:val="00754810"/>
    <w:rsid w:val="007566C1"/>
    <w:rsid w:val="007759BD"/>
    <w:rsid w:val="007902B3"/>
    <w:rsid w:val="007A0613"/>
    <w:rsid w:val="007B2A1C"/>
    <w:rsid w:val="007D5E93"/>
    <w:rsid w:val="00801367"/>
    <w:rsid w:val="008103F2"/>
    <w:rsid w:val="008123AE"/>
    <w:rsid w:val="008164F5"/>
    <w:rsid w:val="00817593"/>
    <w:rsid w:val="00827975"/>
    <w:rsid w:val="00830C52"/>
    <w:rsid w:val="00834A45"/>
    <w:rsid w:val="00846150"/>
    <w:rsid w:val="008756C8"/>
    <w:rsid w:val="00876A31"/>
    <w:rsid w:val="00880EE2"/>
    <w:rsid w:val="008A07EB"/>
    <w:rsid w:val="008A7C86"/>
    <w:rsid w:val="008D1047"/>
    <w:rsid w:val="008E5F1B"/>
    <w:rsid w:val="00900B26"/>
    <w:rsid w:val="009239BE"/>
    <w:rsid w:val="009351D6"/>
    <w:rsid w:val="00943038"/>
    <w:rsid w:val="0098646D"/>
    <w:rsid w:val="00991E0E"/>
    <w:rsid w:val="00993B66"/>
    <w:rsid w:val="00997186"/>
    <w:rsid w:val="00A0672F"/>
    <w:rsid w:val="00A26E29"/>
    <w:rsid w:val="00A27166"/>
    <w:rsid w:val="00A40E18"/>
    <w:rsid w:val="00A466A9"/>
    <w:rsid w:val="00A57348"/>
    <w:rsid w:val="00A638AD"/>
    <w:rsid w:val="00A849DA"/>
    <w:rsid w:val="00A86594"/>
    <w:rsid w:val="00A90BE8"/>
    <w:rsid w:val="00AB0A26"/>
    <w:rsid w:val="00AB33CC"/>
    <w:rsid w:val="00AB5C91"/>
    <w:rsid w:val="00AC5756"/>
    <w:rsid w:val="00AD2CEC"/>
    <w:rsid w:val="00AD37CE"/>
    <w:rsid w:val="00AE4B09"/>
    <w:rsid w:val="00AF52B4"/>
    <w:rsid w:val="00B152B7"/>
    <w:rsid w:val="00B17CFC"/>
    <w:rsid w:val="00B20E5A"/>
    <w:rsid w:val="00B33405"/>
    <w:rsid w:val="00B3734F"/>
    <w:rsid w:val="00B66C9F"/>
    <w:rsid w:val="00B66F92"/>
    <w:rsid w:val="00B77E3F"/>
    <w:rsid w:val="00B84E29"/>
    <w:rsid w:val="00BA4B0B"/>
    <w:rsid w:val="00BB4ECE"/>
    <w:rsid w:val="00BB6EEE"/>
    <w:rsid w:val="00BD174E"/>
    <w:rsid w:val="00BD1F78"/>
    <w:rsid w:val="00BE66BA"/>
    <w:rsid w:val="00C001B7"/>
    <w:rsid w:val="00C02925"/>
    <w:rsid w:val="00C13BCF"/>
    <w:rsid w:val="00C21CB2"/>
    <w:rsid w:val="00C27345"/>
    <w:rsid w:val="00C63B64"/>
    <w:rsid w:val="00C73A6A"/>
    <w:rsid w:val="00CC4873"/>
    <w:rsid w:val="00CC4D4D"/>
    <w:rsid w:val="00CC51B5"/>
    <w:rsid w:val="00CC7833"/>
    <w:rsid w:val="00CD57AC"/>
    <w:rsid w:val="00CE156E"/>
    <w:rsid w:val="00CE5918"/>
    <w:rsid w:val="00DA7FB9"/>
    <w:rsid w:val="00DB6831"/>
    <w:rsid w:val="00DE6E94"/>
    <w:rsid w:val="00E110AF"/>
    <w:rsid w:val="00E1788E"/>
    <w:rsid w:val="00E85442"/>
    <w:rsid w:val="00EA44AF"/>
    <w:rsid w:val="00EB3BA7"/>
    <w:rsid w:val="00EC79CE"/>
    <w:rsid w:val="00F124BE"/>
    <w:rsid w:val="00F202B6"/>
    <w:rsid w:val="00F3585B"/>
    <w:rsid w:val="00F61263"/>
    <w:rsid w:val="00F96F62"/>
    <w:rsid w:val="00FA751E"/>
    <w:rsid w:val="00FC164F"/>
    <w:rsid w:val="00FD3D7B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7C5C"/>
  <w15:chartTrackingRefBased/>
  <w15:docId w15:val="{83AD7DB3-6313-40E9-AEBD-694AD4B2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3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3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3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3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3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3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3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3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3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3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6315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636E0E"/>
    <w:rPr>
      <w:b/>
      <w:bCs/>
    </w:rPr>
  </w:style>
  <w:style w:type="character" w:styleId="ad">
    <w:name w:val="Hyperlink"/>
    <w:basedOn w:val="a0"/>
    <w:uiPriority w:val="99"/>
    <w:unhideWhenUsed/>
    <w:rsid w:val="00636E0E"/>
    <w:rPr>
      <w:color w:val="0000FF"/>
      <w:u w:val="single"/>
    </w:rPr>
  </w:style>
  <w:style w:type="paragraph" w:styleId="ae">
    <w:name w:val="Body Text"/>
    <w:basedOn w:val="a"/>
    <w:link w:val="af"/>
    <w:uiPriority w:val="1"/>
    <w:qFormat/>
    <w:rsid w:val="00636E0E"/>
    <w:pPr>
      <w:widowControl w:val="0"/>
      <w:autoSpaceDE w:val="0"/>
      <w:autoSpaceDN w:val="0"/>
      <w:spacing w:after="0" w:line="240" w:lineRule="auto"/>
      <w:ind w:left="313" w:firstLine="710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636E0E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A27166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2D7A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B%D0%BE%D0%B1%D0%B0%D0%BB%D1%8C%D0%BD%D0%B5_%D0%BF%D0%BE%D1%82%D0%B5%D0%BF%D0%BB%D1%96%D0%BD%D0%BD%D1%8F" TargetMode="External"/><Relationship Id="rId13" Type="http://schemas.openxmlformats.org/officeDocument/2006/relationships/hyperlink" Target="https://ec.europa.eu/commission/presscorner/detail/en/ip_21_1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/index.php?title=%D0%A0%D0%BE%D0%B7%D0%BF%D0%BE%D0%B2%D1%81%D1%8E%D0%B4%D0%B6%D0%B5%D0%BD%D0%BD%D1%8F&amp;action=edit&amp;redlink=1" TargetMode="External"/><Relationship Id="rId12" Type="http://schemas.openxmlformats.org/officeDocument/2006/relationships/hyperlink" Target="https://forbes.ua/profile/dtek-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96%D0%B4%D0%BF%D1%80%D0%B8%D1%94%D0%BC%D1%81%D1%82%D0%B2%D0%BE" TargetMode="External"/><Relationship Id="rId11" Type="http://schemas.openxmlformats.org/officeDocument/2006/relationships/hyperlink" Target="https://www.undp.org/uk/ukraine/tsili-staloho-rozvytku" TargetMode="External"/><Relationship Id="rId5" Type="http://schemas.openxmlformats.org/officeDocument/2006/relationships/hyperlink" Target="mailto:doroshenko@donnu.edu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wc.lu/en/sustainable-finance/esg-report-the-growth-opportunity-of-the-centu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0%B0%D1%81%D0%BB%D1%96%D0%B4%D0%BA%D0%B8_%D0%B3%D0%BB%D0%BE%D0%B1%D0%B0%D0%BB%D1%8C%D0%BD%D0%BE%D0%B3%D0%BE_%D0%BF%D0%BE%D1%82%D0%B5%D0%BF%D0%BB%D1%96%D0%BD%D0%BD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дорошенко</dc:creator>
  <cp:keywords/>
  <dc:description/>
  <cp:lastModifiedBy>ангелина дорошенко</cp:lastModifiedBy>
  <cp:revision>3</cp:revision>
  <dcterms:created xsi:type="dcterms:W3CDTF">2024-09-24T04:33:00Z</dcterms:created>
  <dcterms:modified xsi:type="dcterms:W3CDTF">2024-09-24T04:57:00Z</dcterms:modified>
</cp:coreProperties>
</file>