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55F2" w14:textId="77777777" w:rsidR="00CC1709" w:rsidRPr="002B1290" w:rsidRDefault="002B1290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АНАЛІЗ МЕТОДІВ ДОСЛІДЖЕННЯ РЕСУРСНОГО НЕКСУСУ</w:t>
      </w:r>
    </w:p>
    <w:p w14:paraId="51CE1C6D" w14:textId="5AD4CA6A" w:rsidR="00DB2239" w:rsidRDefault="00DB223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Руденко С.В.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772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Руденко С.С.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6B2550A5" w14:textId="23D1F833" w:rsidR="00CC1709" w:rsidRPr="00DB2239" w:rsidRDefault="002B1290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DB2239" w:rsidRPr="00DB2239">
        <w:rPr>
          <w:rFonts w:ascii="Times New Roman" w:hAnsi="Times New Roman" w:cs="Times New Roman"/>
          <w:i/>
          <w:iCs/>
          <w:sz w:val="28"/>
          <w:szCs w:val="28"/>
        </w:rPr>
        <w:t xml:space="preserve">Дніпровський національний університет </w:t>
      </w:r>
      <w:r w:rsidR="00DB2239">
        <w:rPr>
          <w:rFonts w:ascii="Times New Roman" w:hAnsi="Times New Roman" w:cs="Times New Roman"/>
          <w:i/>
          <w:iCs/>
          <w:sz w:val="28"/>
          <w:szCs w:val="28"/>
        </w:rPr>
        <w:t>ім</w:t>
      </w:r>
      <w:r w:rsidR="00E800A1">
        <w:rPr>
          <w:rFonts w:ascii="Times New Roman" w:hAnsi="Times New Roman" w:cs="Times New Roman"/>
          <w:i/>
          <w:iCs/>
          <w:sz w:val="28"/>
          <w:szCs w:val="28"/>
        </w:rPr>
        <w:t>ені</w:t>
      </w:r>
      <w:r w:rsidR="00DB2239" w:rsidRPr="00DB2239">
        <w:rPr>
          <w:rFonts w:ascii="Times New Roman" w:hAnsi="Times New Roman" w:cs="Times New Roman"/>
          <w:i/>
          <w:iCs/>
          <w:sz w:val="28"/>
          <w:szCs w:val="28"/>
        </w:rPr>
        <w:t xml:space="preserve"> Олеся Гончара</w:t>
      </w:r>
      <w:r w:rsidR="00CC1709" w:rsidRPr="00DB223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B2239">
        <w:rPr>
          <w:rFonts w:ascii="Times New Roman" w:hAnsi="Times New Roman" w:cs="Times New Roman"/>
          <w:i/>
          <w:iCs/>
          <w:sz w:val="28"/>
          <w:szCs w:val="28"/>
        </w:rPr>
        <w:t>Дніпро</w:t>
      </w:r>
      <w:r w:rsidR="00CC1709" w:rsidRPr="00DB223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B2239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193BBFC" w14:textId="77777777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2B1290" w:rsidRPr="002B1290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B1290"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B129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6B9F77B4" w14:textId="77777777" w:rsidR="00CC1709" w:rsidRPr="007E765E" w:rsidRDefault="00CC1709" w:rsidP="00DB223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hyperlink r:id="rId6" w:history="1">
        <w:r w:rsidR="00DB2239" w:rsidRPr="00E800A1">
          <w:rPr>
            <w:rStyle w:val="a7"/>
            <w:rFonts w:ascii="Times New Roman" w:hAnsi="Times New Roman"/>
            <w:sz w:val="28"/>
            <w:szCs w:val="28"/>
          </w:rPr>
          <w:t>rudenkostepan@gmail.com</w:t>
        </w:r>
      </w:hyperlink>
    </w:p>
    <w:p w14:paraId="5FC02754" w14:textId="77777777" w:rsidR="00DB2239" w:rsidRDefault="00DB2239" w:rsidP="00E800A1">
      <w:pPr>
        <w:spacing w:after="0" w:line="25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14:paraId="69B1B3EE" w14:textId="42581462" w:rsidR="003B6E2B" w:rsidRPr="006B3412" w:rsidRDefault="006F40D3" w:rsidP="00E800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3C">
        <w:rPr>
          <w:rFonts w:ascii="Times New Roman" w:hAnsi="Times New Roman" w:cs="Times New Roman"/>
          <w:sz w:val="28"/>
          <w:szCs w:val="28"/>
        </w:rPr>
        <w:t>Тривалий час вважалося, що причинами деградації природних ресурсів нашої планети є зростання чисельності населення, а відповідно і зростання попиту на ресурси, глобальна зміна клімату,</w:t>
      </w:r>
      <w:r w:rsidR="00113AB9">
        <w:rPr>
          <w:rFonts w:ascii="Times New Roman" w:hAnsi="Times New Roman" w:cs="Times New Roman"/>
          <w:sz w:val="28"/>
          <w:szCs w:val="28"/>
        </w:rPr>
        <w:t xml:space="preserve"> </w:t>
      </w:r>
      <w:r w:rsidR="003B6E2B" w:rsidRPr="00B90C3C">
        <w:rPr>
          <w:rFonts w:ascii="Times New Roman" w:hAnsi="Times New Roman" w:cs="Times New Roman"/>
          <w:sz w:val="28"/>
          <w:szCs w:val="28"/>
        </w:rPr>
        <w:t xml:space="preserve">техногенне забруднення біосфери, </w:t>
      </w:r>
      <w:r w:rsidRPr="00B90C3C">
        <w:rPr>
          <w:rFonts w:ascii="Times New Roman" w:hAnsi="Times New Roman" w:cs="Times New Roman"/>
          <w:sz w:val="28"/>
          <w:szCs w:val="28"/>
        </w:rPr>
        <w:t>зміна способу життя населення</w:t>
      </w:r>
      <w:r w:rsidR="003B6E2B" w:rsidRPr="00B90C3C">
        <w:rPr>
          <w:rFonts w:ascii="Times New Roman" w:hAnsi="Times New Roman" w:cs="Times New Roman"/>
          <w:sz w:val="28"/>
          <w:szCs w:val="28"/>
        </w:rPr>
        <w:t xml:space="preserve"> та ін. Проте у 2011 р. науковий співробітник Стокгольмського інституту навколишнього середовища (SEI)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Хольгер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Хофф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r w:rsidR="009B66B4" w:rsidRPr="00B90C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0C3C" w:rsidRPr="00B90C3C">
        <w:rPr>
          <w:rFonts w:ascii="Times New Roman" w:hAnsi="Times New Roman" w:cs="Times New Roman"/>
          <w:sz w:val="28"/>
          <w:szCs w:val="28"/>
        </w:rPr>
        <w:t>Hoff</w:t>
      </w:r>
      <w:proofErr w:type="spellEnd"/>
      <w:r w:rsidR="00B90C3C" w:rsidRPr="00B90C3C">
        <w:rPr>
          <w:rFonts w:ascii="Times New Roman" w:hAnsi="Times New Roman" w:cs="Times New Roman"/>
          <w:sz w:val="28"/>
          <w:szCs w:val="28"/>
        </w:rPr>
        <w:t>)</w:t>
      </w:r>
      <w:r w:rsidR="00B90C3C" w:rsidRPr="00B90C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E2B" w:rsidRPr="00B90C3C">
        <w:rPr>
          <w:rFonts w:ascii="Times New Roman" w:hAnsi="Times New Roman" w:cs="Times New Roman"/>
          <w:sz w:val="28"/>
          <w:szCs w:val="28"/>
        </w:rPr>
        <w:t xml:space="preserve">вперше висунув нову концепцію, яка ставить у главу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вугла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не перелічені вище причини, а од</w:t>
      </w:r>
      <w:r w:rsidR="0013244F">
        <w:rPr>
          <w:rFonts w:ascii="Times New Roman" w:hAnsi="Times New Roman" w:cs="Times New Roman"/>
          <w:sz w:val="28"/>
          <w:szCs w:val="28"/>
        </w:rPr>
        <w:t>н</w:t>
      </w:r>
      <w:r w:rsidR="003B6E2B" w:rsidRPr="00B90C3C">
        <w:rPr>
          <w:rFonts w:ascii="Times New Roman" w:hAnsi="Times New Roman" w:cs="Times New Roman"/>
          <w:sz w:val="28"/>
          <w:szCs w:val="28"/>
        </w:rPr>
        <w:t>осекторне планування і керування ресурсами.  Існуючі до цього часу інституційні підходи керували ресурсами, розділяючи їх на окремі сховища. Нестійке односекторне планування і керування призводило до навантаження на екосистеми, викликало ресурсний дисбаланс, який досяг критичної точки у період кризи 2007-2008 рр. Напередодні Бон</w:t>
      </w:r>
      <w:r w:rsidR="0013244F">
        <w:rPr>
          <w:rFonts w:ascii="Times New Roman" w:hAnsi="Times New Roman" w:cs="Times New Roman"/>
          <w:sz w:val="28"/>
          <w:szCs w:val="28"/>
        </w:rPr>
        <w:t>н</w:t>
      </w:r>
      <w:r w:rsidR="003B6E2B" w:rsidRPr="00B90C3C">
        <w:rPr>
          <w:rFonts w:ascii="Times New Roman" w:hAnsi="Times New Roman" w:cs="Times New Roman"/>
          <w:sz w:val="28"/>
          <w:szCs w:val="28"/>
        </w:rPr>
        <w:t>ської конференції «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Nexus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» (2011)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Хольгер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Хофф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 підготував довідковий документ «Розуміння нексусу», з яким мали змогу ознайомитися всі учасники доленосної </w:t>
      </w:r>
      <w:r w:rsidR="009B66B4" w:rsidRPr="00B90C3C">
        <w:rPr>
          <w:rFonts w:ascii="Times New Roman" w:hAnsi="Times New Roman" w:cs="Times New Roman"/>
          <w:sz w:val="28"/>
          <w:szCs w:val="28"/>
        </w:rPr>
        <w:t>зустрічі</w:t>
      </w:r>
      <w:r w:rsidR="003B6E2B" w:rsidRPr="00B90C3C">
        <w:rPr>
          <w:rFonts w:ascii="Times New Roman" w:hAnsi="Times New Roman" w:cs="Times New Roman"/>
          <w:sz w:val="28"/>
          <w:szCs w:val="28"/>
        </w:rPr>
        <w:t xml:space="preserve">. На думку </w:t>
      </w:r>
      <w:proofErr w:type="spellStart"/>
      <w:r w:rsidR="003B6E2B" w:rsidRPr="00B90C3C">
        <w:rPr>
          <w:rFonts w:ascii="Times New Roman" w:hAnsi="Times New Roman" w:cs="Times New Roman"/>
          <w:sz w:val="28"/>
          <w:szCs w:val="28"/>
        </w:rPr>
        <w:t>Хоффа</w:t>
      </w:r>
      <w:proofErr w:type="spellEnd"/>
      <w:r w:rsidR="003B6E2B" w:rsidRPr="00B90C3C">
        <w:rPr>
          <w:rFonts w:ascii="Times New Roman" w:hAnsi="Times New Roman" w:cs="Times New Roman"/>
          <w:sz w:val="28"/>
          <w:szCs w:val="28"/>
        </w:rPr>
        <w:t xml:space="preserve">, суть нового виклику в сфері раціонального управління природними ресурсами: перехід від відокремленого мислення до нексусного підходу. Нексусний підхід може підтримати перехід до стійкості, зменшивши компроміси та створивши додаткові переваги. </w:t>
      </w:r>
      <w:proofErr w:type="spellStart"/>
      <w:r w:rsidR="00B90C3C">
        <w:rPr>
          <w:rFonts w:ascii="Times New Roman" w:hAnsi="Times New Roman" w:cs="Times New Roman"/>
          <w:sz w:val="28"/>
          <w:szCs w:val="28"/>
        </w:rPr>
        <w:t>Хофф</w:t>
      </w:r>
      <w:proofErr w:type="spellEnd"/>
      <w:r w:rsidR="00B90C3C">
        <w:rPr>
          <w:rFonts w:ascii="Times New Roman" w:hAnsi="Times New Roman" w:cs="Times New Roman"/>
          <w:sz w:val="28"/>
          <w:szCs w:val="28"/>
        </w:rPr>
        <w:t xml:space="preserve"> вважав, що с</w:t>
      </w:r>
      <w:r w:rsidR="003B6E2B" w:rsidRPr="00B90C3C">
        <w:rPr>
          <w:rFonts w:ascii="Times New Roman" w:hAnsi="Times New Roman" w:cs="Times New Roman"/>
          <w:sz w:val="28"/>
          <w:szCs w:val="28"/>
        </w:rPr>
        <w:t>аме за допомогою нексусного підходу можна досягти покращення водної, енергетичної та продовольчої безпеки</w:t>
      </w:r>
      <w:r w:rsidR="00B90C3C">
        <w:rPr>
          <w:rFonts w:ascii="Times New Roman" w:hAnsi="Times New Roman" w:cs="Times New Roman"/>
          <w:sz w:val="28"/>
          <w:szCs w:val="28"/>
        </w:rPr>
        <w:t xml:space="preserve">, тому назвав </w:t>
      </w:r>
      <w:r w:rsidR="006B3412">
        <w:rPr>
          <w:rFonts w:ascii="Times New Roman" w:hAnsi="Times New Roman" w:cs="Times New Roman"/>
          <w:sz w:val="28"/>
          <w:szCs w:val="28"/>
        </w:rPr>
        <w:t>Концепцію «</w:t>
      </w:r>
      <w:r w:rsidR="006B3412" w:rsidRPr="00B90C3C">
        <w:rPr>
          <w:rFonts w:ascii="Times New Roman" w:hAnsi="Times New Roman" w:cs="Times New Roman"/>
          <w:sz w:val="28"/>
          <w:szCs w:val="28"/>
        </w:rPr>
        <w:t>WEF-</w:t>
      </w:r>
      <w:r w:rsidR="006B3412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6B3412">
        <w:rPr>
          <w:rFonts w:ascii="Times New Roman" w:hAnsi="Times New Roman" w:cs="Times New Roman"/>
          <w:sz w:val="28"/>
          <w:szCs w:val="28"/>
        </w:rPr>
        <w:t>»</w:t>
      </w:r>
      <w:r w:rsidR="006B3412" w:rsidRPr="006B3412">
        <w:rPr>
          <w:rFonts w:ascii="Times New Roman" w:hAnsi="Times New Roman" w:cs="Times New Roman"/>
          <w:sz w:val="28"/>
          <w:szCs w:val="28"/>
        </w:rPr>
        <w:t xml:space="preserve"> (</w:t>
      </w:r>
      <w:r w:rsidR="006B3412">
        <w:rPr>
          <w:rFonts w:ascii="Times New Roman" w:hAnsi="Times New Roman" w:cs="Times New Roman"/>
          <w:sz w:val="28"/>
          <w:szCs w:val="28"/>
        </w:rPr>
        <w:t xml:space="preserve">Вода-Енергія-Продовольство </w:t>
      </w:r>
      <w:proofErr w:type="spellStart"/>
      <w:r w:rsidR="006B3412">
        <w:rPr>
          <w:rFonts w:ascii="Times New Roman" w:hAnsi="Times New Roman" w:cs="Times New Roman"/>
          <w:sz w:val="28"/>
          <w:szCs w:val="28"/>
        </w:rPr>
        <w:t>нексус</w:t>
      </w:r>
      <w:proofErr w:type="spellEnd"/>
      <w:r w:rsidR="006B3412">
        <w:rPr>
          <w:rFonts w:ascii="Times New Roman" w:hAnsi="Times New Roman" w:cs="Times New Roman"/>
          <w:sz w:val="28"/>
          <w:szCs w:val="28"/>
        </w:rPr>
        <w:t>).</w:t>
      </w:r>
    </w:p>
    <w:p w14:paraId="6150994F" w14:textId="3366ACE8" w:rsidR="00E15E2A" w:rsidRPr="00B90C3C" w:rsidRDefault="00E15E2A" w:rsidP="00E800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3C">
        <w:rPr>
          <w:rFonts w:ascii="Times New Roman" w:hAnsi="Times New Roman" w:cs="Times New Roman"/>
          <w:sz w:val="28"/>
          <w:szCs w:val="28"/>
        </w:rPr>
        <w:t>Після Боннської конференції концепція WEF-</w:t>
      </w:r>
      <w:proofErr w:type="spellStart"/>
      <w:r w:rsidRPr="00B90C3C">
        <w:rPr>
          <w:rFonts w:ascii="Times New Roman" w:hAnsi="Times New Roman" w:cs="Times New Roman"/>
          <w:sz w:val="28"/>
          <w:szCs w:val="28"/>
        </w:rPr>
        <w:t>нексусу</w:t>
      </w:r>
      <w:proofErr w:type="spellEnd"/>
      <w:r w:rsidRPr="00B90C3C">
        <w:rPr>
          <w:rFonts w:ascii="Times New Roman" w:hAnsi="Times New Roman" w:cs="Times New Roman"/>
          <w:sz w:val="28"/>
          <w:szCs w:val="28"/>
        </w:rPr>
        <w:t xml:space="preserve"> </w:t>
      </w:r>
      <w:r w:rsidR="00B90C3C">
        <w:rPr>
          <w:rFonts w:ascii="Times New Roman" w:hAnsi="Times New Roman" w:cs="Times New Roman"/>
          <w:sz w:val="28"/>
          <w:szCs w:val="28"/>
        </w:rPr>
        <w:t>(вода-енергія-продовольство-</w:t>
      </w:r>
      <w:proofErr w:type="spellStart"/>
      <w:r w:rsidR="00B90C3C">
        <w:rPr>
          <w:rFonts w:ascii="Times New Roman" w:hAnsi="Times New Roman" w:cs="Times New Roman"/>
          <w:sz w:val="28"/>
          <w:szCs w:val="28"/>
        </w:rPr>
        <w:t>нексус</w:t>
      </w:r>
      <w:proofErr w:type="spellEnd"/>
      <w:r w:rsidR="00B90C3C">
        <w:rPr>
          <w:rFonts w:ascii="Times New Roman" w:hAnsi="Times New Roman" w:cs="Times New Roman"/>
          <w:sz w:val="28"/>
          <w:szCs w:val="28"/>
        </w:rPr>
        <w:t xml:space="preserve">) </w:t>
      </w:r>
      <w:r w:rsidRPr="00B90C3C">
        <w:rPr>
          <w:rFonts w:ascii="Times New Roman" w:hAnsi="Times New Roman" w:cs="Times New Roman"/>
          <w:sz w:val="28"/>
          <w:szCs w:val="28"/>
        </w:rPr>
        <w:t xml:space="preserve">набула великої популярності і її стали напряму пов’язувати з успішністю реалізації цілей сталого розвитку. У 2019 р. відбувся брифінг Єврокомісії, який пов’язав концепцію WEF-нексусу із зеленим курсом Євросоюзу. Це означало, що закінчився етап теоретичних розробок та наукових </w:t>
      </w:r>
      <w:proofErr w:type="spellStart"/>
      <w:r w:rsidRPr="00B90C3C">
        <w:rPr>
          <w:rFonts w:ascii="Times New Roman" w:hAnsi="Times New Roman" w:cs="Times New Roman"/>
          <w:sz w:val="28"/>
          <w:szCs w:val="28"/>
        </w:rPr>
        <w:t>дискусів</w:t>
      </w:r>
      <w:proofErr w:type="spellEnd"/>
      <w:r w:rsidRPr="00B90C3C">
        <w:rPr>
          <w:rFonts w:ascii="Times New Roman" w:hAnsi="Times New Roman" w:cs="Times New Roman"/>
          <w:sz w:val="28"/>
          <w:szCs w:val="28"/>
        </w:rPr>
        <w:t>. Пролунав заклик до переходу від «нексусного мислення» до конкретних «</w:t>
      </w:r>
      <w:proofErr w:type="spellStart"/>
      <w:r w:rsidRPr="00B90C3C">
        <w:rPr>
          <w:rFonts w:ascii="Times New Roman" w:hAnsi="Times New Roman" w:cs="Times New Roman"/>
          <w:sz w:val="28"/>
          <w:szCs w:val="28"/>
        </w:rPr>
        <w:t>нексусних</w:t>
      </w:r>
      <w:proofErr w:type="spellEnd"/>
      <w:r w:rsidRPr="00B90C3C">
        <w:rPr>
          <w:rFonts w:ascii="Times New Roman" w:hAnsi="Times New Roman" w:cs="Times New Roman"/>
          <w:sz w:val="28"/>
          <w:szCs w:val="28"/>
        </w:rPr>
        <w:t xml:space="preserve"> дій». І ось фактично протягом 5 останніх років від цього моменту з’явились якісні і кількісні методи оцінки WEF-</w:t>
      </w:r>
      <w:proofErr w:type="spellStart"/>
      <w:r w:rsidRPr="00B90C3C">
        <w:rPr>
          <w:rFonts w:ascii="Times New Roman" w:hAnsi="Times New Roman" w:cs="Times New Roman"/>
          <w:sz w:val="28"/>
          <w:szCs w:val="28"/>
        </w:rPr>
        <w:t>нексусу</w:t>
      </w:r>
      <w:proofErr w:type="spellEnd"/>
      <w:r w:rsidRPr="00B90C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66275" w14:textId="77777777" w:rsidR="000D05D3" w:rsidRPr="00E800A1" w:rsidRDefault="000D05D3" w:rsidP="00E800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3C">
        <w:rPr>
          <w:rFonts w:ascii="Times New Roman" w:hAnsi="Times New Roman" w:cs="Times New Roman"/>
          <w:sz w:val="28"/>
          <w:szCs w:val="28"/>
        </w:rPr>
        <w:t xml:space="preserve">Метою нашого </w:t>
      </w:r>
      <w:r w:rsidRPr="00E800A1">
        <w:rPr>
          <w:rFonts w:ascii="Times New Roman" w:hAnsi="Times New Roman" w:cs="Times New Roman"/>
          <w:sz w:val="28"/>
          <w:szCs w:val="28"/>
        </w:rPr>
        <w:t xml:space="preserve">дослідження став </w:t>
      </w:r>
      <w:r w:rsidR="00B90C3C" w:rsidRPr="00E800A1">
        <w:rPr>
          <w:rFonts w:ascii="Times New Roman" w:hAnsi="Times New Roman" w:cs="Times New Roman"/>
          <w:sz w:val="28"/>
          <w:szCs w:val="28"/>
        </w:rPr>
        <w:t xml:space="preserve">критичний </w:t>
      </w:r>
      <w:r w:rsidRPr="00E800A1">
        <w:rPr>
          <w:rFonts w:ascii="Times New Roman" w:hAnsi="Times New Roman" w:cs="Times New Roman"/>
          <w:sz w:val="28"/>
          <w:szCs w:val="28"/>
        </w:rPr>
        <w:t xml:space="preserve">аналіз методів </w:t>
      </w:r>
      <w:r w:rsidR="00B90C3C" w:rsidRPr="00E800A1">
        <w:rPr>
          <w:rFonts w:ascii="Times New Roman" w:hAnsi="Times New Roman" w:cs="Times New Roman"/>
          <w:sz w:val="28"/>
          <w:szCs w:val="28"/>
        </w:rPr>
        <w:t xml:space="preserve">ресурсного нексусу </w:t>
      </w:r>
      <w:r w:rsidR="006B3412" w:rsidRPr="00E800A1">
        <w:rPr>
          <w:rFonts w:ascii="Times New Roman" w:hAnsi="Times New Roman" w:cs="Times New Roman"/>
          <w:sz w:val="28"/>
          <w:szCs w:val="28"/>
        </w:rPr>
        <w:t>та пошук найефективніших підходів для реалізації цього напряму на теренах України.</w:t>
      </w:r>
    </w:p>
    <w:p w14:paraId="7EC9B205" w14:textId="77777777" w:rsidR="003B0870" w:rsidRPr="00E800A1" w:rsidRDefault="003B0870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E800A1">
        <w:rPr>
          <w:sz w:val="28"/>
          <w:szCs w:val="28"/>
        </w:rPr>
        <w:t>На рисунку 1 представлена, розроблена нами схема, яка демонструє систему методів за допомогою яких відбувалося дослідження ресурсного нексусу різними авторами протягом 2019-2024 рр. Ми поділили ці методи на п’ять груп: індикатори, ресурсні сліди, пар</w:t>
      </w:r>
      <w:r w:rsidR="0013244F" w:rsidRPr="00E800A1">
        <w:rPr>
          <w:sz w:val="28"/>
          <w:szCs w:val="28"/>
        </w:rPr>
        <w:t>ти</w:t>
      </w:r>
      <w:r w:rsidRPr="00E800A1">
        <w:rPr>
          <w:sz w:val="28"/>
          <w:szCs w:val="28"/>
        </w:rPr>
        <w:t xml:space="preserve">сипативне моделювання, тематичне дослідження та математичне моделювання. </w:t>
      </w:r>
    </w:p>
    <w:p w14:paraId="1ABF5591" w14:textId="77777777" w:rsidR="003B0870" w:rsidRDefault="003B0870" w:rsidP="00E800A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1F1F1F"/>
          <w:sz w:val="28"/>
          <w:szCs w:val="28"/>
        </w:rPr>
      </w:pPr>
    </w:p>
    <w:p w14:paraId="394256F2" w14:textId="77777777" w:rsidR="003B0870" w:rsidRDefault="003B0870" w:rsidP="00E800A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1F1F1F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1F1F1F"/>
          <w:sz w:val="28"/>
          <w:szCs w:val="28"/>
          <w:lang w:eastAsia="uk-UA"/>
        </w:rPr>
        <w:lastRenderedPageBreak/>
        <w:drawing>
          <wp:inline distT="0" distB="0" distL="0" distR="0" wp14:anchorId="3843E984" wp14:editId="20625063">
            <wp:extent cx="5471160" cy="30937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34" t="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8821F" w14:textId="77777777" w:rsidR="003B0870" w:rsidRDefault="003B0870" w:rsidP="00E800A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Рисунок 1. </w:t>
      </w:r>
      <w:r>
        <w:rPr>
          <w:rFonts w:ascii="Times New Roman" w:hAnsi="Times New Roman" w:cs="Times New Roman"/>
          <w:sz w:val="28"/>
          <w:szCs w:val="28"/>
        </w:rPr>
        <w:t>Методи дослідження ресурсного нексусу</w:t>
      </w:r>
    </w:p>
    <w:p w14:paraId="2A74D474" w14:textId="77777777" w:rsidR="003B0870" w:rsidRDefault="003B0870" w:rsidP="00E800A1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71CE9" w14:textId="77777777" w:rsidR="006D5149" w:rsidRPr="0028514B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 w:rsidRPr="0028514B">
        <w:rPr>
          <w:color w:val="333333"/>
          <w:sz w:val="28"/>
          <w:szCs w:val="28"/>
        </w:rPr>
        <w:t xml:space="preserve">Підсумовуючи результати аналізу методів дослідження ресурсного нексусу можна зробити такі висновки: </w:t>
      </w:r>
    </w:p>
    <w:p w14:paraId="2EED0E62" w14:textId="77777777" w:rsidR="006D5149" w:rsidRPr="0028514B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 w:rsidRPr="0028514B">
        <w:rPr>
          <w:color w:val="333333"/>
          <w:sz w:val="28"/>
          <w:szCs w:val="28"/>
        </w:rPr>
        <w:t xml:space="preserve">1) переважна більшість методів дослідження нексусу охоплюють лише три види ресурсів: «вода», «енергія», «продовольство». Натомість інші важливі ресурси залишаються поза увагою; </w:t>
      </w:r>
    </w:p>
    <w:p w14:paraId="574D831E" w14:textId="77777777" w:rsidR="006D5149" w:rsidRPr="0028514B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 w:rsidRPr="0028514B">
        <w:rPr>
          <w:color w:val="333333"/>
          <w:sz w:val="28"/>
          <w:szCs w:val="28"/>
        </w:rPr>
        <w:t xml:space="preserve">2) у </w:t>
      </w:r>
      <w:proofErr w:type="spellStart"/>
      <w:r w:rsidRPr="0028514B">
        <w:rPr>
          <w:color w:val="333333"/>
          <w:sz w:val="28"/>
          <w:szCs w:val="28"/>
        </w:rPr>
        <w:t>нексусі</w:t>
      </w:r>
      <w:proofErr w:type="spellEnd"/>
      <w:r w:rsidRPr="0028514B">
        <w:rPr>
          <w:color w:val="333333"/>
          <w:sz w:val="28"/>
          <w:szCs w:val="28"/>
        </w:rPr>
        <w:t xml:space="preserve"> «вода-енергія-продовольство» беруться до уваги не первинні, а вторинні ресурси, які уже перебувають в процесі споживання;</w:t>
      </w:r>
    </w:p>
    <w:p w14:paraId="53ABF49B" w14:textId="77777777" w:rsidR="006D5149" w:rsidRPr="0028514B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 w:rsidRPr="0028514B">
        <w:rPr>
          <w:color w:val="333333"/>
          <w:sz w:val="28"/>
          <w:szCs w:val="28"/>
        </w:rPr>
        <w:t xml:space="preserve">3) більшість публікацій, присвячених ресурсному нексусу,  містить оцінку в одиницях маси або об’єму. </w:t>
      </w:r>
      <w:r w:rsidRPr="0028514B">
        <w:rPr>
          <w:color w:val="1F1F1F"/>
          <w:sz w:val="28"/>
          <w:szCs w:val="28"/>
        </w:rPr>
        <w:t>Натомість оцінка природних ресурсів як головне джерело усіх екосистемних послуг, першочергово повинна підлягати грошовій оцінці. Адже саме ця оцінка віддзеркалює той факт, чи використання природних ресурсів  вході їх експлуатації є раціональним</w:t>
      </w:r>
      <w:r w:rsidR="0013244F">
        <w:rPr>
          <w:color w:val="1F1F1F"/>
          <w:sz w:val="28"/>
          <w:szCs w:val="28"/>
        </w:rPr>
        <w:t>;</w:t>
      </w:r>
    </w:p>
    <w:p w14:paraId="06D3CEEE" w14:textId="77777777" w:rsidR="006D5149" w:rsidRPr="0028514B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28514B">
        <w:rPr>
          <w:color w:val="333333"/>
          <w:sz w:val="28"/>
          <w:szCs w:val="28"/>
        </w:rPr>
        <w:t>4) більшість оцінок ресурсного нексусу здійснюється без прив’язки до природних екосистем, що «вириває» його з контексту впливу дії природних екологічних чинників;</w:t>
      </w:r>
      <w:r w:rsidRPr="0028514B">
        <w:rPr>
          <w:sz w:val="28"/>
          <w:szCs w:val="28"/>
        </w:rPr>
        <w:t xml:space="preserve"> </w:t>
      </w:r>
    </w:p>
    <w:p w14:paraId="06B6342A" w14:textId="2FBE5243" w:rsidR="0028514B" w:rsidRPr="0028514B" w:rsidRDefault="006D5149" w:rsidP="00E800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4B">
        <w:rPr>
          <w:rFonts w:ascii="Times New Roman" w:hAnsi="Times New Roman" w:cs="Times New Roman"/>
          <w:color w:val="333333"/>
          <w:sz w:val="28"/>
          <w:szCs w:val="28"/>
        </w:rPr>
        <w:t xml:space="preserve">5) </w:t>
      </w:r>
      <w:r w:rsidR="0013244F">
        <w:rPr>
          <w:rFonts w:ascii="Times New Roman" w:hAnsi="Times New Roman" w:cs="Times New Roman"/>
          <w:color w:val="333333"/>
          <w:sz w:val="28"/>
          <w:szCs w:val="28"/>
        </w:rPr>
        <w:t>розглянуті</w:t>
      </w:r>
      <w:r w:rsidRPr="0028514B">
        <w:rPr>
          <w:rFonts w:ascii="Times New Roman" w:hAnsi="Times New Roman" w:cs="Times New Roman"/>
          <w:color w:val="333333"/>
          <w:sz w:val="28"/>
          <w:szCs w:val="28"/>
        </w:rPr>
        <w:t xml:space="preserve"> методи оцінки ресурсного нексусу мають певні обмеження та недоліки.</w:t>
      </w:r>
      <w:r w:rsidR="0028514B" w:rsidRPr="00285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44F">
        <w:rPr>
          <w:rFonts w:ascii="Times New Roman" w:hAnsi="Times New Roman" w:cs="Times New Roman"/>
          <w:bCs/>
          <w:sz w:val="28"/>
          <w:szCs w:val="28"/>
        </w:rPr>
        <w:t>Так, з</w:t>
      </w:r>
      <w:r w:rsidR="0028514B" w:rsidRPr="0028514B">
        <w:rPr>
          <w:rFonts w:ascii="Times New Roman" w:hAnsi="Times New Roman" w:cs="Times New Roman"/>
          <w:bCs/>
          <w:sz w:val="28"/>
          <w:szCs w:val="28"/>
        </w:rPr>
        <w:t xml:space="preserve">астосування індикаторів </w:t>
      </w:r>
      <w:r w:rsidR="0028514B" w:rsidRPr="0028514B">
        <w:rPr>
          <w:rFonts w:ascii="Times New Roman" w:hAnsi="Times New Roman" w:cs="Times New Roman"/>
          <w:sz w:val="28"/>
          <w:szCs w:val="28"/>
        </w:rPr>
        <w:t>зводить оцінку стійкості або впливу нексусу на довкілля до однієї одиниці вимірювання і не дає уявлень про його системні властивості та динаміку; оцінка ресурсних слідів здійснюється одночасно (паралельно),</w:t>
      </w:r>
      <w:r w:rsidR="0028514B" w:rsidRPr="002851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14B" w:rsidRPr="0028514B">
        <w:rPr>
          <w:rFonts w:ascii="Times New Roman" w:hAnsi="Times New Roman" w:cs="Times New Roman"/>
          <w:sz w:val="28"/>
          <w:szCs w:val="28"/>
        </w:rPr>
        <w:t xml:space="preserve">але без врахування взаємодії між ними; групова модель або когнітивна карта відображає лише ментальні погляди конкретної групи зацікавлених сторін у певний момент часу, тому не може бути застосована для об’єктивного прогнозування майбутнього; метод SEM обтяжений дискусією відносно кількості факторів, потребує </w:t>
      </w:r>
      <w:r w:rsidR="0013244F" w:rsidRPr="0028514B">
        <w:rPr>
          <w:rFonts w:ascii="Times New Roman" w:hAnsi="Times New Roman" w:cs="Times New Roman"/>
          <w:sz w:val="28"/>
          <w:szCs w:val="28"/>
        </w:rPr>
        <w:t>великих</w:t>
      </w:r>
      <w:r w:rsidR="0028514B" w:rsidRPr="0028514B">
        <w:rPr>
          <w:rFonts w:ascii="Times New Roman" w:hAnsi="Times New Roman" w:cs="Times New Roman"/>
          <w:sz w:val="28"/>
          <w:szCs w:val="28"/>
        </w:rPr>
        <w:t xml:space="preserve"> розмірів вибірки, але має обмежену ємність блоків. </w:t>
      </w:r>
    </w:p>
    <w:p w14:paraId="16FBEF79" w14:textId="4399F064" w:rsidR="00025152" w:rsidRPr="0028514B" w:rsidRDefault="00113AB9" w:rsidP="00E800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4B">
        <w:rPr>
          <w:rFonts w:ascii="Times New Roman" w:hAnsi="Times New Roman" w:cs="Times New Roman"/>
          <w:sz w:val="28"/>
          <w:szCs w:val="28"/>
        </w:rPr>
        <w:t xml:space="preserve">Враховуючи все вище зазначене, нами запропонована методика оцінки ресурсного </w:t>
      </w:r>
      <w:proofErr w:type="spellStart"/>
      <w:r w:rsidRPr="0028514B">
        <w:rPr>
          <w:rFonts w:ascii="Times New Roman" w:hAnsi="Times New Roman" w:cs="Times New Roman"/>
          <w:sz w:val="28"/>
          <w:szCs w:val="28"/>
        </w:rPr>
        <w:t>нексусу</w:t>
      </w:r>
      <w:proofErr w:type="spellEnd"/>
      <w:r w:rsidRPr="0028514B">
        <w:rPr>
          <w:rFonts w:ascii="Times New Roman" w:hAnsi="Times New Roman" w:cs="Times New Roman"/>
          <w:sz w:val="28"/>
          <w:szCs w:val="28"/>
        </w:rPr>
        <w:t xml:space="preserve"> на основі </w:t>
      </w:r>
      <w:proofErr w:type="spellStart"/>
      <w:r w:rsidRPr="0028514B">
        <w:rPr>
          <w:rFonts w:ascii="Times New Roman" w:hAnsi="Times New Roman" w:cs="Times New Roman"/>
          <w:sz w:val="28"/>
          <w:szCs w:val="28"/>
          <w:lang w:val="en-US"/>
        </w:rPr>
        <w:t>EcoNet</w:t>
      </w:r>
      <w:proofErr w:type="spellEnd"/>
      <w:r w:rsidRPr="0028514B">
        <w:rPr>
          <w:rFonts w:ascii="Times New Roman" w:hAnsi="Times New Roman" w:cs="Times New Roman"/>
          <w:sz w:val="28"/>
          <w:szCs w:val="28"/>
        </w:rPr>
        <w:t xml:space="preserve">-аналізу. Десятилітній досвід роботи з програмою </w:t>
      </w:r>
      <w:proofErr w:type="spellStart"/>
      <w:r w:rsidRPr="0028514B">
        <w:rPr>
          <w:rFonts w:ascii="Times New Roman" w:hAnsi="Times New Roman" w:cs="Times New Roman"/>
          <w:sz w:val="28"/>
          <w:szCs w:val="28"/>
          <w:lang w:val="en-US"/>
        </w:rPr>
        <w:t>EcoNet</w:t>
      </w:r>
      <w:proofErr w:type="spellEnd"/>
      <w:r w:rsidRPr="0028514B">
        <w:rPr>
          <w:rFonts w:ascii="Times New Roman" w:hAnsi="Times New Roman" w:cs="Times New Roman"/>
          <w:sz w:val="28"/>
          <w:szCs w:val="28"/>
        </w:rPr>
        <w:t xml:space="preserve"> одного із співавторів </w:t>
      </w:r>
      <w:r w:rsidR="00051E3C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791B25">
        <w:rPr>
          <w:rFonts w:ascii="Times New Roman" w:hAnsi="Times New Roman" w:cs="Times New Roman"/>
          <w:sz w:val="28"/>
          <w:szCs w:val="28"/>
        </w:rPr>
        <w:t>,2</w:t>
      </w:r>
      <w:r w:rsidR="00051E3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8514B">
        <w:rPr>
          <w:rFonts w:ascii="Times New Roman" w:hAnsi="Times New Roman" w:cs="Times New Roman"/>
          <w:sz w:val="28"/>
          <w:szCs w:val="28"/>
        </w:rPr>
        <w:t xml:space="preserve"> цієї публікації, дозволяє виділити </w:t>
      </w:r>
      <w:r w:rsidRPr="0028514B">
        <w:rPr>
          <w:rFonts w:ascii="Times New Roman" w:hAnsi="Times New Roman" w:cs="Times New Roman"/>
          <w:sz w:val="28"/>
          <w:szCs w:val="28"/>
        </w:rPr>
        <w:lastRenderedPageBreak/>
        <w:t xml:space="preserve">чотири важливі переваги цього методу порівняно з іншими методами дослідження ресурсного </w:t>
      </w:r>
      <w:proofErr w:type="spellStart"/>
      <w:r w:rsidRPr="0028514B">
        <w:rPr>
          <w:rFonts w:ascii="Times New Roman" w:hAnsi="Times New Roman" w:cs="Times New Roman"/>
          <w:sz w:val="28"/>
          <w:szCs w:val="28"/>
        </w:rPr>
        <w:t>нексусу</w:t>
      </w:r>
      <w:proofErr w:type="spellEnd"/>
      <w:r w:rsidRPr="0028514B">
        <w:rPr>
          <w:rFonts w:ascii="Times New Roman" w:hAnsi="Times New Roman" w:cs="Times New Roman"/>
          <w:sz w:val="28"/>
          <w:szCs w:val="28"/>
        </w:rPr>
        <w:t xml:space="preserve">: </w:t>
      </w:r>
      <w:r w:rsidR="00025152" w:rsidRPr="0028514B">
        <w:rPr>
          <w:rFonts w:ascii="Times New Roman" w:hAnsi="Times New Roman" w:cs="Times New Roman"/>
          <w:sz w:val="28"/>
          <w:szCs w:val="28"/>
        </w:rPr>
        <w:t>оптимальна візуалізація модел</w:t>
      </w:r>
      <w:r w:rsidR="006D5149" w:rsidRPr="0028514B">
        <w:rPr>
          <w:rFonts w:ascii="Times New Roman" w:hAnsi="Times New Roman" w:cs="Times New Roman"/>
          <w:sz w:val="28"/>
          <w:szCs w:val="28"/>
        </w:rPr>
        <w:t>і</w:t>
      </w:r>
      <w:r w:rsidRPr="0028514B">
        <w:rPr>
          <w:rFonts w:ascii="Times New Roman" w:hAnsi="Times New Roman" w:cs="Times New Roman"/>
          <w:sz w:val="28"/>
          <w:szCs w:val="28"/>
        </w:rPr>
        <w:t xml:space="preserve">; </w:t>
      </w:r>
      <w:r w:rsidR="006D5149" w:rsidRPr="0028514B">
        <w:rPr>
          <w:rFonts w:ascii="Times New Roman" w:hAnsi="Times New Roman" w:cs="Times New Roman"/>
          <w:sz w:val="28"/>
          <w:szCs w:val="28"/>
        </w:rPr>
        <w:t>приведення системи до стаціонарного стану на початку моделювання;</w:t>
      </w:r>
      <w:r w:rsidR="006D5149" w:rsidRPr="0028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нормалізація даних, яку відповідна Програма </w:t>
      </w:r>
      <w:r w:rsidR="0013244F" w:rsidRPr="0028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</w:t>
      </w:r>
      <w:r w:rsidR="006D5149" w:rsidRPr="0028514B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автоматично після стабілізації; глибинний структурно-функціональний аналіз;</w:t>
      </w:r>
      <w:r w:rsidR="00025152" w:rsidRPr="0028514B">
        <w:rPr>
          <w:rFonts w:ascii="Times New Roman" w:hAnsi="Times New Roman" w:cs="Times New Roman"/>
          <w:sz w:val="28"/>
          <w:szCs w:val="28"/>
        </w:rPr>
        <w:t xml:space="preserve"> здатність  визначати цілісні та емерджентні властивості ресурсного </w:t>
      </w:r>
      <w:proofErr w:type="spellStart"/>
      <w:r w:rsidR="00025152" w:rsidRPr="0028514B">
        <w:rPr>
          <w:rFonts w:ascii="Times New Roman" w:hAnsi="Times New Roman" w:cs="Times New Roman"/>
          <w:sz w:val="28"/>
          <w:szCs w:val="28"/>
        </w:rPr>
        <w:t>нексусу</w:t>
      </w:r>
      <w:proofErr w:type="spellEnd"/>
      <w:r w:rsidR="00025152" w:rsidRPr="002851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EC1FB" w14:textId="7DB40EBB" w:rsidR="006D5149" w:rsidRDefault="006D5149" w:rsidP="00E800A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333333"/>
          <w:sz w:val="28"/>
          <w:szCs w:val="28"/>
        </w:rPr>
      </w:pPr>
      <w:r w:rsidRPr="0028514B">
        <w:rPr>
          <w:sz w:val="28"/>
          <w:szCs w:val="28"/>
        </w:rPr>
        <w:t xml:space="preserve">Для адаптації </w:t>
      </w:r>
      <w:proofErr w:type="spellStart"/>
      <w:r w:rsidRPr="0028514B">
        <w:rPr>
          <w:sz w:val="28"/>
          <w:szCs w:val="28"/>
          <w:lang w:val="en-US"/>
        </w:rPr>
        <w:t>EcoNet</w:t>
      </w:r>
      <w:proofErr w:type="spellEnd"/>
      <w:r w:rsidRPr="0028514B">
        <w:rPr>
          <w:sz w:val="28"/>
          <w:szCs w:val="28"/>
        </w:rPr>
        <w:t xml:space="preserve"> аналізу до оцінки ресурсного </w:t>
      </w:r>
      <w:proofErr w:type="spellStart"/>
      <w:r w:rsidRPr="0028514B">
        <w:rPr>
          <w:sz w:val="28"/>
          <w:szCs w:val="28"/>
        </w:rPr>
        <w:t>нексусу</w:t>
      </w:r>
      <w:proofErr w:type="spellEnd"/>
      <w:r w:rsidRPr="0028514B">
        <w:rPr>
          <w:sz w:val="28"/>
          <w:szCs w:val="28"/>
        </w:rPr>
        <w:t xml:space="preserve"> </w:t>
      </w:r>
      <w:r w:rsidR="0013244F">
        <w:rPr>
          <w:sz w:val="28"/>
          <w:szCs w:val="28"/>
        </w:rPr>
        <w:t xml:space="preserve">нами </w:t>
      </w:r>
      <w:r w:rsidRPr="0028514B">
        <w:rPr>
          <w:sz w:val="28"/>
          <w:szCs w:val="28"/>
        </w:rPr>
        <w:t xml:space="preserve">була створена система одночасних регресійних рівнянь, в яких кожний ресурс виступав поперемінно залежною та незалежною змінною. </w:t>
      </w:r>
      <w:proofErr w:type="spellStart"/>
      <w:r w:rsidRPr="0028514B">
        <w:rPr>
          <w:sz w:val="28"/>
          <w:szCs w:val="28"/>
        </w:rPr>
        <w:t>Нексусне</w:t>
      </w:r>
      <w:proofErr w:type="spellEnd"/>
      <w:r w:rsidRPr="0028514B">
        <w:rPr>
          <w:sz w:val="28"/>
          <w:szCs w:val="28"/>
        </w:rPr>
        <w:t xml:space="preserve"> дослідження охоплювало п’ять </w:t>
      </w:r>
      <w:r w:rsidRPr="0028514B">
        <w:rPr>
          <w:color w:val="333333"/>
          <w:sz w:val="28"/>
          <w:szCs w:val="28"/>
        </w:rPr>
        <w:t>первинних</w:t>
      </w:r>
      <w:r w:rsidRPr="0028514B">
        <w:rPr>
          <w:sz w:val="28"/>
          <w:szCs w:val="28"/>
        </w:rPr>
        <w:t xml:space="preserve"> </w:t>
      </w:r>
      <w:r w:rsidRPr="0028514B">
        <w:rPr>
          <w:color w:val="333333"/>
          <w:sz w:val="28"/>
          <w:szCs w:val="28"/>
        </w:rPr>
        <w:t xml:space="preserve">видів ресурсів – водні, земельні, лісові, фауністичні та рекреаційні. </w:t>
      </w:r>
      <w:r w:rsidRPr="0028514B">
        <w:rPr>
          <w:sz w:val="28"/>
          <w:szCs w:val="28"/>
        </w:rPr>
        <w:t xml:space="preserve">Достовірні відносні коефіцієнти регресії були введені в текстовий інтерфейс комп’ютерної Програми </w:t>
      </w:r>
      <w:proofErr w:type="spellStart"/>
      <w:r w:rsidRPr="0028514B">
        <w:rPr>
          <w:sz w:val="28"/>
          <w:szCs w:val="28"/>
          <w:lang w:val="en-US"/>
        </w:rPr>
        <w:t>EcoNet</w:t>
      </w:r>
      <w:proofErr w:type="spellEnd"/>
      <w:r w:rsidRPr="0028514B">
        <w:rPr>
          <w:sz w:val="28"/>
          <w:szCs w:val="28"/>
        </w:rPr>
        <w:t xml:space="preserve"> як потокові коефіцієнти між </w:t>
      </w:r>
      <w:proofErr w:type="spellStart"/>
      <w:r w:rsidRPr="0028514B">
        <w:rPr>
          <w:sz w:val="28"/>
          <w:szCs w:val="28"/>
        </w:rPr>
        <w:t>компартментами</w:t>
      </w:r>
      <w:proofErr w:type="spellEnd"/>
      <w:r w:rsidRPr="0028514B">
        <w:rPr>
          <w:sz w:val="28"/>
          <w:szCs w:val="28"/>
        </w:rPr>
        <w:t>.</w:t>
      </w:r>
      <w:r w:rsidR="00E800A1">
        <w:rPr>
          <w:sz w:val="28"/>
          <w:szCs w:val="28"/>
        </w:rPr>
        <w:t xml:space="preserve"> </w:t>
      </w:r>
      <w:r w:rsidRPr="0028514B">
        <w:rPr>
          <w:sz w:val="28"/>
          <w:szCs w:val="28"/>
        </w:rPr>
        <w:t xml:space="preserve">Одиницею вимірювання обрано територіальну продуктивність ресурсів, виражену в грн./га за рік </w:t>
      </w:r>
      <w:r w:rsidR="00051E3C">
        <w:rPr>
          <w:sz w:val="28"/>
          <w:szCs w:val="28"/>
          <w:lang w:val="en-US"/>
        </w:rPr>
        <w:t>[</w:t>
      </w:r>
      <w:r w:rsidR="00791B25">
        <w:rPr>
          <w:sz w:val="28"/>
          <w:szCs w:val="28"/>
        </w:rPr>
        <w:t>3</w:t>
      </w:r>
      <w:r w:rsidR="00051E3C">
        <w:rPr>
          <w:sz w:val="28"/>
          <w:szCs w:val="28"/>
          <w:lang w:val="en-US"/>
        </w:rPr>
        <w:t>]</w:t>
      </w:r>
      <w:r w:rsidRPr="002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Полігоном  досліджень слугувало 14 провінційних екосистем України </w:t>
      </w:r>
      <w:r w:rsidR="00051E3C">
        <w:rPr>
          <w:color w:val="333333"/>
          <w:sz w:val="28"/>
          <w:szCs w:val="28"/>
          <w:lang w:val="en-US"/>
        </w:rPr>
        <w:t>[</w:t>
      </w:r>
      <w:r w:rsidR="00791B25">
        <w:rPr>
          <w:color w:val="333333"/>
          <w:sz w:val="28"/>
          <w:szCs w:val="28"/>
        </w:rPr>
        <w:t>4</w:t>
      </w:r>
      <w:r w:rsidR="00051E3C">
        <w:rPr>
          <w:color w:val="333333"/>
          <w:sz w:val="28"/>
          <w:szCs w:val="28"/>
          <w:lang w:val="en-US"/>
        </w:rPr>
        <w:t>]</w:t>
      </w:r>
      <w:r>
        <w:rPr>
          <w:color w:val="333333"/>
          <w:sz w:val="28"/>
          <w:szCs w:val="28"/>
        </w:rPr>
        <w:t>.</w:t>
      </w:r>
      <w:r w:rsidRPr="003A25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Застосована методика дозволила порівняти природно-ресурсний нексус провінційних екосистем за 20 загальносистемними властивостями та поділити їх  за типом стійкості (</w:t>
      </w:r>
      <w:proofErr w:type="spellStart"/>
      <w:r>
        <w:rPr>
          <w:color w:val="333333"/>
          <w:sz w:val="28"/>
          <w:szCs w:val="28"/>
        </w:rPr>
        <w:t>резильєнтн</w:t>
      </w:r>
      <w:r w:rsidR="0013244F">
        <w:rPr>
          <w:color w:val="333333"/>
          <w:sz w:val="28"/>
          <w:szCs w:val="28"/>
        </w:rPr>
        <w:t>ої</w:t>
      </w:r>
      <w:proofErr w:type="spellEnd"/>
      <w:r>
        <w:rPr>
          <w:color w:val="333333"/>
          <w:sz w:val="28"/>
          <w:szCs w:val="28"/>
        </w:rPr>
        <w:t xml:space="preserve"> чи резистентн</w:t>
      </w:r>
      <w:r w:rsidR="0013244F">
        <w:rPr>
          <w:color w:val="333333"/>
          <w:sz w:val="28"/>
          <w:szCs w:val="28"/>
        </w:rPr>
        <w:t>ої</w:t>
      </w:r>
      <w:r>
        <w:rPr>
          <w:color w:val="333333"/>
          <w:sz w:val="28"/>
          <w:szCs w:val="28"/>
        </w:rPr>
        <w:t>), впорядкованістю та надійністю.</w:t>
      </w:r>
    </w:p>
    <w:p w14:paraId="6904AFE5" w14:textId="77777777" w:rsidR="00051E3C" w:rsidRDefault="00051E3C" w:rsidP="006D514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DCCBBD" w14:textId="77777777" w:rsidR="006D5149" w:rsidRPr="007E765E" w:rsidRDefault="006D5149" w:rsidP="006D514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88112E9" w14:textId="7D4C8772" w:rsidR="00051E3C" w:rsidRDefault="00051E3C" w:rsidP="006A190A">
      <w:pPr>
        <w:pStyle w:val="aa"/>
        <w:numPr>
          <w:ilvl w:val="0"/>
          <w:numId w:val="3"/>
        </w:numP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Buzhdygan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O.Y., Rudenko S.S., </w:t>
      </w: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Kazanci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C., Patten, B.C. Effect of invasive black locust (</w:t>
      </w:r>
      <w:proofErr w:type="spellStart"/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>Robinia</w:t>
      </w:r>
      <w:proofErr w:type="spellEnd"/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>pseudoacacia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L.) on nitrogen cycle in floodplain ecosystem. </w:t>
      </w:r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>Ecological Modelling</w:t>
      </w:r>
      <w:r w:rsidRPr="0086123C">
        <w:rPr>
          <w:rFonts w:ascii="Times New Roman" w:hAnsi="Times New Roman" w:cs="Times New Roman"/>
          <w:iCs/>
          <w:sz w:val="28"/>
          <w:szCs w:val="28"/>
        </w:rPr>
        <w:t>.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2016</w:t>
      </w:r>
      <w:r w:rsidRPr="008612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319</w:t>
      </w:r>
      <w:r w:rsidRPr="0086123C">
        <w:rPr>
          <w:rFonts w:ascii="Times New Roman" w:hAnsi="Times New Roman" w:cs="Times New Roman"/>
          <w:iCs/>
          <w:sz w:val="28"/>
          <w:szCs w:val="28"/>
        </w:rPr>
        <w:t>.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6123C">
        <w:rPr>
          <w:rFonts w:ascii="Times New Roman" w:hAnsi="Times New Roman" w:cs="Times New Roman"/>
          <w:iCs/>
          <w:sz w:val="28"/>
          <w:szCs w:val="28"/>
        </w:rPr>
        <w:t>Р.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170–177.</w:t>
      </w:r>
    </w:p>
    <w:p w14:paraId="21C24333" w14:textId="0A8E7735" w:rsidR="00791B25" w:rsidRPr="00791B25" w:rsidRDefault="00791B25" w:rsidP="00791B25">
      <w:pPr>
        <w:pStyle w:val="aa"/>
        <w:numPr>
          <w:ilvl w:val="0"/>
          <w:numId w:val="3"/>
        </w:numP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Buzhdygan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O.Y., </w:t>
      </w: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Tietjen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B., Rudenko S.S., </w:t>
      </w: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Nikorych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V.A., </w:t>
      </w:r>
      <w:proofErr w:type="spellStart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Petermann</w:t>
      </w:r>
      <w:proofErr w:type="spellEnd"/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J.S. Direct and indirect effects of land-use intensity on plant communities across elevation in semi-natural grasslands. </w:t>
      </w:r>
      <w:proofErr w:type="spellStart"/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>PLoS</w:t>
      </w:r>
      <w:proofErr w:type="spellEnd"/>
      <w:r w:rsidRPr="0086123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ONE</w:t>
      </w:r>
      <w:r w:rsidRPr="008612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2020</w:t>
      </w:r>
      <w:r w:rsidRPr="008612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6123C">
        <w:rPr>
          <w:rFonts w:ascii="Times New Roman" w:hAnsi="Times New Roman" w:cs="Times New Roman"/>
          <w:iCs/>
          <w:sz w:val="28"/>
          <w:szCs w:val="28"/>
          <w:lang w:val="en-US"/>
        </w:rPr>
        <w:t>15(11), e0231122.</w:t>
      </w:r>
    </w:p>
    <w:p w14:paraId="0ABF5B3A" w14:textId="77777777" w:rsidR="00051E3C" w:rsidRPr="0086123C" w:rsidRDefault="00051E3C" w:rsidP="006A190A">
      <w:pPr>
        <w:pStyle w:val="aa"/>
        <w:numPr>
          <w:ilvl w:val="0"/>
          <w:numId w:val="3"/>
        </w:numP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123C">
        <w:rPr>
          <w:rFonts w:ascii="Times New Roman" w:hAnsi="Times New Roman" w:cs="Times New Roman"/>
          <w:sz w:val="28"/>
          <w:szCs w:val="28"/>
        </w:rPr>
        <w:t xml:space="preserve">Rudenko S., Rudenko V.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Nature-Resources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Regions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Present-day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3C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86123C">
        <w:rPr>
          <w:rFonts w:ascii="Times New Roman" w:hAnsi="Times New Roman" w:cs="Times New Roman"/>
          <w:sz w:val="28"/>
          <w:szCs w:val="28"/>
        </w:rPr>
        <w:t xml:space="preserve">. </w:t>
      </w:r>
      <w:r w:rsidRPr="0086123C">
        <w:rPr>
          <w:rFonts w:ascii="Times New Roman" w:hAnsi="Times New Roman" w:cs="Times New Roman"/>
          <w:i/>
          <w:iCs/>
          <w:sz w:val="28"/>
          <w:szCs w:val="28"/>
        </w:rPr>
        <w:t>Екологічні науки</w:t>
      </w:r>
      <w:r w:rsidRPr="0086123C">
        <w:rPr>
          <w:rFonts w:ascii="Times New Roman" w:hAnsi="Times New Roman" w:cs="Times New Roman"/>
          <w:iCs/>
          <w:sz w:val="28"/>
          <w:szCs w:val="28"/>
        </w:rPr>
        <w:t>.</w:t>
      </w:r>
      <w:r w:rsidRPr="0086123C">
        <w:rPr>
          <w:rFonts w:ascii="Times New Roman" w:hAnsi="Times New Roman" w:cs="Times New Roman"/>
          <w:sz w:val="28"/>
          <w:szCs w:val="28"/>
        </w:rPr>
        <w:t xml:space="preserve"> 2023. № 6 (51). С. 84-89.</w:t>
      </w:r>
    </w:p>
    <w:p w14:paraId="6A1B66CE" w14:textId="77777777" w:rsidR="006D5149" w:rsidRPr="0086123C" w:rsidRDefault="006D5149" w:rsidP="006A190A">
      <w:pPr>
        <w:pStyle w:val="aa"/>
        <w:numPr>
          <w:ilvl w:val="0"/>
          <w:numId w:val="3"/>
        </w:numP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123C">
        <w:rPr>
          <w:rFonts w:ascii="Times New Roman" w:hAnsi="Times New Roman" w:cs="Times New Roman"/>
          <w:iCs/>
          <w:sz w:val="28"/>
          <w:szCs w:val="28"/>
        </w:rPr>
        <w:t xml:space="preserve">Руденко С.В., Руденко В.П., Руденко С.С. Пізнання провінційних екосистем України через гравітаційні моделі їх природно-ресурсного потенціалу. </w:t>
      </w:r>
      <w:r w:rsidRPr="0086123C">
        <w:rPr>
          <w:rFonts w:ascii="Times New Roman" w:hAnsi="Times New Roman" w:cs="Times New Roman"/>
          <w:i/>
          <w:iCs/>
          <w:sz w:val="28"/>
          <w:szCs w:val="28"/>
        </w:rPr>
        <w:t>Екологічні науки</w:t>
      </w:r>
      <w:r w:rsidRPr="0086123C">
        <w:rPr>
          <w:rFonts w:ascii="Times New Roman" w:hAnsi="Times New Roman" w:cs="Times New Roman"/>
          <w:iCs/>
          <w:sz w:val="28"/>
          <w:szCs w:val="28"/>
        </w:rPr>
        <w:t xml:space="preserve">. 2024. № 2 (53). С. 55-60. </w:t>
      </w:r>
    </w:p>
    <w:sectPr w:rsidR="006D5149" w:rsidRPr="0086123C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AEC"/>
    <w:multiLevelType w:val="multilevel"/>
    <w:tmpl w:val="F8CA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4E52"/>
    <w:multiLevelType w:val="hybridMultilevel"/>
    <w:tmpl w:val="AACCC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9E79D8"/>
    <w:multiLevelType w:val="hybridMultilevel"/>
    <w:tmpl w:val="54525942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FE2864"/>
    <w:multiLevelType w:val="hybridMultilevel"/>
    <w:tmpl w:val="8304B5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0F26DA"/>
    <w:multiLevelType w:val="hybridMultilevel"/>
    <w:tmpl w:val="54525942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9"/>
    <w:rsid w:val="00025152"/>
    <w:rsid w:val="00031A5A"/>
    <w:rsid w:val="00051E3C"/>
    <w:rsid w:val="00056890"/>
    <w:rsid w:val="0007634D"/>
    <w:rsid w:val="000A1059"/>
    <w:rsid w:val="000A681B"/>
    <w:rsid w:val="000C61A0"/>
    <w:rsid w:val="000D05D3"/>
    <w:rsid w:val="00113AB9"/>
    <w:rsid w:val="0013244F"/>
    <w:rsid w:val="0016798C"/>
    <w:rsid w:val="001A07D8"/>
    <w:rsid w:val="001B5FC5"/>
    <w:rsid w:val="001F27FD"/>
    <w:rsid w:val="0021698C"/>
    <w:rsid w:val="00217E46"/>
    <w:rsid w:val="0028514B"/>
    <w:rsid w:val="002B1290"/>
    <w:rsid w:val="00333BF0"/>
    <w:rsid w:val="00340325"/>
    <w:rsid w:val="0034775A"/>
    <w:rsid w:val="00361EE6"/>
    <w:rsid w:val="003A25D6"/>
    <w:rsid w:val="003B0870"/>
    <w:rsid w:val="003B2CAB"/>
    <w:rsid w:val="003B6E2B"/>
    <w:rsid w:val="003C03E5"/>
    <w:rsid w:val="00485F29"/>
    <w:rsid w:val="00496B27"/>
    <w:rsid w:val="004C0077"/>
    <w:rsid w:val="004D0D7F"/>
    <w:rsid w:val="004E7A31"/>
    <w:rsid w:val="005257AA"/>
    <w:rsid w:val="005540DF"/>
    <w:rsid w:val="005C23F5"/>
    <w:rsid w:val="006A190A"/>
    <w:rsid w:val="006A1E65"/>
    <w:rsid w:val="006A2C12"/>
    <w:rsid w:val="006B3412"/>
    <w:rsid w:val="006D5149"/>
    <w:rsid w:val="006F40D3"/>
    <w:rsid w:val="0077214E"/>
    <w:rsid w:val="00791B25"/>
    <w:rsid w:val="007A7733"/>
    <w:rsid w:val="007E765E"/>
    <w:rsid w:val="008428B2"/>
    <w:rsid w:val="0086123C"/>
    <w:rsid w:val="008754E3"/>
    <w:rsid w:val="00876250"/>
    <w:rsid w:val="00882F43"/>
    <w:rsid w:val="008C4B22"/>
    <w:rsid w:val="008E58FB"/>
    <w:rsid w:val="008F713E"/>
    <w:rsid w:val="009316EB"/>
    <w:rsid w:val="009977BB"/>
    <w:rsid w:val="009A2F68"/>
    <w:rsid w:val="009B66B4"/>
    <w:rsid w:val="009C3AE5"/>
    <w:rsid w:val="009E54D3"/>
    <w:rsid w:val="00A10104"/>
    <w:rsid w:val="00A316D1"/>
    <w:rsid w:val="00A70AD5"/>
    <w:rsid w:val="00AB05DF"/>
    <w:rsid w:val="00B82D48"/>
    <w:rsid w:val="00B90C3C"/>
    <w:rsid w:val="00C466B7"/>
    <w:rsid w:val="00C53227"/>
    <w:rsid w:val="00C63245"/>
    <w:rsid w:val="00C73977"/>
    <w:rsid w:val="00C92291"/>
    <w:rsid w:val="00CC1709"/>
    <w:rsid w:val="00CF45FA"/>
    <w:rsid w:val="00D1525B"/>
    <w:rsid w:val="00D21C59"/>
    <w:rsid w:val="00DB2239"/>
    <w:rsid w:val="00DE2D27"/>
    <w:rsid w:val="00E0069B"/>
    <w:rsid w:val="00E15E2A"/>
    <w:rsid w:val="00E423E7"/>
    <w:rsid w:val="00E800A1"/>
    <w:rsid w:val="00E93485"/>
    <w:rsid w:val="00ED748C"/>
    <w:rsid w:val="00EF7333"/>
    <w:rsid w:val="00F26F54"/>
    <w:rsid w:val="00FC0859"/>
    <w:rsid w:val="00FD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BF344"/>
  <w15:docId w15:val="{A332A079-BBE5-4E1C-9DB9-F9C2E69A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0DF"/>
  </w:style>
  <w:style w:type="paragraph" w:styleId="4">
    <w:name w:val="heading 4"/>
    <w:basedOn w:val="a"/>
    <w:link w:val="40"/>
    <w:uiPriority w:val="9"/>
    <w:qFormat/>
    <w:rsid w:val="00A31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3AE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B223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8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0A681B"/>
    <w:rPr>
      <w:i/>
      <w:iCs/>
    </w:rPr>
  </w:style>
  <w:style w:type="paragraph" w:styleId="aa">
    <w:name w:val="List Paragraph"/>
    <w:basedOn w:val="a"/>
    <w:uiPriority w:val="34"/>
    <w:qFormat/>
    <w:rsid w:val="00F26F5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316D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authors-moduleumr1o">
    <w:name w:val="authors-module__umr1o"/>
    <w:basedOn w:val="a0"/>
    <w:rsid w:val="00A316D1"/>
  </w:style>
  <w:style w:type="character" w:customStyle="1" w:styleId="typography-modulelvnit">
    <w:name w:val="typography-module__lvnit"/>
    <w:basedOn w:val="a0"/>
    <w:rsid w:val="00A316D1"/>
  </w:style>
  <w:style w:type="character" w:customStyle="1" w:styleId="anchor-text">
    <w:name w:val="anchor-text"/>
    <w:basedOn w:val="a0"/>
    <w:rsid w:val="00217E46"/>
  </w:style>
  <w:style w:type="character" w:customStyle="1" w:styleId="title-text">
    <w:name w:val="title-text"/>
    <w:basedOn w:val="a0"/>
    <w:rsid w:val="007A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denkostep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B40F-C308-46D1-A37A-B5201EB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4285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Радіо Сергій Вікторович</dc:creator>
  <cp:lastModifiedBy>Stepan Rudenko</cp:lastModifiedBy>
  <cp:revision>9</cp:revision>
  <dcterms:created xsi:type="dcterms:W3CDTF">2024-09-20T19:37:00Z</dcterms:created>
  <dcterms:modified xsi:type="dcterms:W3CDTF">2024-09-20T21:35:00Z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