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0315891" w:rsidR="00302785" w:rsidRDefault="00C0285A" w:rsidP="00C0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МІЖНАРОДНИЙ ДОСВІД У ВІДНОВЛЕННІ ЗРУЙНОВАНОЇ СПАДЩИНИ: МОЖЛИВОСТІ АДАПТАЦІЇ ДЛЯ УКРАЇНИ</w:t>
      </w:r>
    </w:p>
    <w:p w14:paraId="00000002" w14:textId="64050F3F" w:rsidR="00302785" w:rsidRPr="00E42557" w:rsidRDefault="00F458B5" w:rsidP="00F458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458B5">
        <w:rPr>
          <w:rFonts w:ascii="Times New Roman" w:eastAsia="Times New Roman" w:hAnsi="Times New Roman" w:cs="Times New Roman"/>
          <w:i/>
          <w:iCs/>
          <w:sz w:val="28"/>
          <w:szCs w:val="28"/>
        </w:rPr>
        <w:t>Лопушняк Василь</w:t>
      </w:r>
      <w:r w:rsidR="00201D94" w:rsidRPr="00201D9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F458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C0285A" w:rsidRPr="00F458B5">
        <w:rPr>
          <w:rFonts w:ascii="Times New Roman" w:eastAsia="Times New Roman" w:hAnsi="Times New Roman" w:cs="Times New Roman"/>
          <w:i/>
          <w:iCs/>
          <w:sz w:val="28"/>
          <w:szCs w:val="28"/>
        </w:rPr>
        <w:t>Романів Яна</w:t>
      </w:r>
      <w:r w:rsidR="00201D94" w:rsidRPr="00201D9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C0285A" w:rsidRPr="00F458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F458B5">
        <w:rPr>
          <w:rFonts w:ascii="Times New Roman" w:eastAsia="Times New Roman" w:hAnsi="Times New Roman" w:cs="Times New Roman"/>
          <w:i/>
          <w:iCs/>
          <w:sz w:val="28"/>
          <w:szCs w:val="28"/>
        </w:rPr>
        <w:t>Пасішняк Ярослав</w:t>
      </w:r>
      <w:r w:rsidR="00201D94" w:rsidRPr="00201D9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E42557">
        <w:rPr>
          <w:rFonts w:ascii="Times New Roman" w:eastAsia="Times New Roman" w:hAnsi="Times New Roman" w:cs="Times New Roman"/>
          <w:i/>
          <w:iCs/>
          <w:sz w:val="28"/>
          <w:szCs w:val="28"/>
        </w:rPr>
        <w:t>, Грицуляк Галина</w:t>
      </w:r>
      <w:bookmarkStart w:id="0" w:name="_GoBack"/>
      <w:bookmarkEnd w:id="0"/>
    </w:p>
    <w:p w14:paraId="3E1134F4" w14:textId="617B56E7" w:rsidR="00F458B5" w:rsidRPr="00F458B5" w:rsidRDefault="00201D94" w:rsidP="00F458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01D9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F458B5">
        <w:rPr>
          <w:rFonts w:ascii="Times New Roman" w:eastAsia="Times New Roman" w:hAnsi="Times New Roman" w:cs="Times New Roman"/>
          <w:i/>
          <w:iCs/>
          <w:sz w:val="28"/>
          <w:szCs w:val="28"/>
        </w:rPr>
        <w:t>Івано-Франківський національний технічний університет нафти і газу</w:t>
      </w:r>
    </w:p>
    <w:p w14:paraId="00000003" w14:textId="77777777" w:rsidR="00302785" w:rsidRDefault="00E42557" w:rsidP="00C0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Однією з найбільш характерних рис розвитку людської цивілізації є процес урбанізації, який виражається в зростанні кількості міського населення та зменшенні частки сільського населення. В Україні міське населення складає 68%. Більше третини (33,7%) міських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жителів країни проживає в чотирьох регіонах: Донецькій, Луганській, Дніпропетровській і Запорізькій областях. До початку війни на сході України. Частка киян у загальній кількості міського населення України становить 7,8%. Серед нерухомих об'єктів культурн</w:t>
      </w:r>
      <w:r>
        <w:rPr>
          <w:rFonts w:ascii="Times New Roman" w:eastAsia="Times New Roman" w:hAnsi="Times New Roman" w:cs="Times New Roman"/>
          <w:sz w:val="28"/>
          <w:szCs w:val="28"/>
        </w:rPr>
        <w:t>ої спадщини, які зазнають впливу екологічних ризиків, особливу увагу привертають пам'ятники історії та культури, що охороняються законом. За оцінками експертів, їх стан залишається незадовільним [1].</w:t>
      </w:r>
    </w:p>
    <w:p w14:paraId="00000005" w14:textId="79BA08AA" w:rsidR="00302785" w:rsidRDefault="00E42557" w:rsidP="00F4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Розв'язавши незаконну війну проти України, Росія мала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меті не лише знищувати українських громадян, а й руйнувати культурну спадщину країни. Відповідно до Гаазької конвенції про захист культурних цінностей у випадку збройного конфлікту від 14 травня 1954 року, «пошкодження культурних цінностей будь-якого наро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завдає шкоди культурній спадщині всього людства, оскільки кожен народ робить свій внесок у світову культуру» [9]. За даними Міністерства культури та інформаційної політики, внаслідок повномасштабної російської агресії в Україні з 24 лютого 2022 року до </w:t>
      </w:r>
      <w:r>
        <w:rPr>
          <w:rFonts w:ascii="Times New Roman" w:eastAsia="Times New Roman" w:hAnsi="Times New Roman" w:cs="Times New Roman"/>
          <w:sz w:val="28"/>
          <w:szCs w:val="28"/>
        </w:rPr>
        <w:t>25 грудня 2023 року було пошкоджено або знищено 872 об'єкти культурної спадщини. З них 120 мають загальнодержавне значення, 682 – місцеве, а 70 – нещодавно виявлені [3].</w:t>
      </w:r>
      <w:r w:rsidR="00F4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Міжнародний досвід показує, що післявоєнна реставрація пам'яток і реконструкція міст п</w:t>
      </w:r>
      <w:r>
        <w:rPr>
          <w:rFonts w:ascii="Times New Roman" w:eastAsia="Times New Roman" w:hAnsi="Times New Roman" w:cs="Times New Roman"/>
          <w:sz w:val="28"/>
          <w:szCs w:val="28"/>
        </w:rPr>
        <w:t>ід час збройних конфліктів вимагають делікатного підходу, що поєднує збереження, культурну чутливість і архітектурну майстерність. Важливо розуміти, що реставрація пам'яток розпочнеться лише після завершення війни. Реставрацію слід починати з ретельної оці</w:t>
      </w:r>
      <w:r>
        <w:rPr>
          <w:rFonts w:ascii="Times New Roman" w:eastAsia="Times New Roman" w:hAnsi="Times New Roman" w:cs="Times New Roman"/>
          <w:sz w:val="28"/>
          <w:szCs w:val="28"/>
        </w:rPr>
        <w:t>нки, документування, аналізу шкоди та створення основи для подальших відновлювальних робіт [4].</w:t>
      </w:r>
    </w:p>
    <w:p w14:paraId="00000007" w14:textId="79ECBE7C" w:rsidR="00302785" w:rsidRDefault="00E42557" w:rsidP="00C0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 відновлення історичних пам’яток після конфліктів починається з ретельного обстеження, де експерти — архітектори, інженери та археологи — оцінюють пошкодж</w:t>
      </w:r>
      <w:r>
        <w:rPr>
          <w:rFonts w:ascii="Times New Roman" w:eastAsia="Times New Roman" w:hAnsi="Times New Roman" w:cs="Times New Roman"/>
          <w:sz w:val="28"/>
          <w:szCs w:val="28"/>
        </w:rPr>
        <w:t>ення, фіксують стан будівель і визначають ділянки, що потребують негайної стабілізації. За допомогою передових технологій, таких як 3D-сканування, документуються кожен фрагмент і деталь, а також історичні креслення і архівні матеріали. Важливою складовою 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також залучення громади, яка ділиться спогадами та традиціями, надаючи культурний контекст. Такий підхід гарантує, що реставрація не лише відновить архітектурну велич, але й збереже унікальну спадщину та дух місця [5].</w:t>
      </w:r>
    </w:p>
    <w:p w14:paraId="00000009" w14:textId="5825BDAA" w:rsidR="00302785" w:rsidRDefault="00E42557" w:rsidP="00F4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 відновлення включає оцінку в</w:t>
      </w:r>
      <w:r>
        <w:rPr>
          <w:rFonts w:ascii="Times New Roman" w:eastAsia="Times New Roman" w:hAnsi="Times New Roman" w:cs="Times New Roman"/>
          <w:sz w:val="28"/>
          <w:szCs w:val="28"/>
        </w:rPr>
        <w:t>ажливості об’єкта та пріоритетів, де визначають історичну, культурну та соціальну значимість місць, категоризують об’єкти за ступенем шкоди і терміновістю втручання, а також консультуються із зацікавленими сторонами. Стратегії збереження базуються на принц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ипах мінімального втручання, поваги до автентичності, а також адаптивному повторному використанні будівель. Усе це супроводжується стандартизованою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документацією для майбутнього використання в реставраційних роботах [6].</w:t>
      </w:r>
      <w:r w:rsidR="00F4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Основні засади реставрації включают</w:t>
      </w:r>
      <w:r>
        <w:rPr>
          <w:rFonts w:ascii="Times New Roman" w:eastAsia="Times New Roman" w:hAnsi="Times New Roman" w:cs="Times New Roman"/>
          <w:sz w:val="28"/>
          <w:szCs w:val="28"/>
        </w:rPr>
        <w:t>ь принцип мінімального втручання для збереження автентичних елементів та використання реверсивних методів, щоб майбутні покоління могли коригувати роботи без шкоди. Важливо враховувати історичний та соціокультурний контекст об'єкта, його символічну цінніст</w:t>
      </w:r>
      <w:r>
        <w:rPr>
          <w:rFonts w:ascii="Times New Roman" w:eastAsia="Times New Roman" w:hAnsi="Times New Roman" w:cs="Times New Roman"/>
          <w:sz w:val="28"/>
          <w:szCs w:val="28"/>
        </w:rPr>
        <w:t>ь для громади, зберігати автентичність та уникати культурного присвоєння. Етичний підхід передбачає повагу до різних історичних шарів</w:t>
      </w:r>
      <w:r w:rsidR="00F4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[6].</w:t>
      </w:r>
    </w:p>
    <w:p w14:paraId="0000000B" w14:textId="2B1ED54E" w:rsidR="00302785" w:rsidRDefault="00E42557" w:rsidP="00F4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 реставрації культурної спадщини включає використання традиційних технік і матеріалів, ретельно досліджених та задокументованих для автентичного відтворення. Поєднання цих методів із сучасними технологіями підвищує до</w:t>
      </w:r>
      <w:r>
        <w:rPr>
          <w:rFonts w:ascii="Times New Roman" w:eastAsia="Times New Roman" w:hAnsi="Times New Roman" w:cs="Times New Roman"/>
          <w:sz w:val="28"/>
          <w:szCs w:val="28"/>
        </w:rPr>
        <w:t>вговічність об'єктів. Важливо залучати місцевих майстрів для збереження навичок і підтримки громад. Реконструкція виконується з урахуванням ступеня пошкоджень, з акцентом на гармонійне поєднання старих і нових елементів. Планування технічного обслуговуванн</w:t>
      </w:r>
      <w:r>
        <w:rPr>
          <w:rFonts w:ascii="Times New Roman" w:eastAsia="Times New Roman" w:hAnsi="Times New Roman" w:cs="Times New Roman"/>
          <w:sz w:val="28"/>
          <w:szCs w:val="28"/>
        </w:rPr>
        <w:t>я та регулярний моніторинг допомагають підтримувати відновлені об'єкти в належному стані [6].</w:t>
      </w:r>
      <w:bookmarkStart w:id="1" w:name="_gjdgxs" w:colFirst="0" w:colLast="0"/>
      <w:bookmarkEnd w:id="1"/>
      <w:r w:rsidR="00F4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Відновлення об'єктів історико-культурної спадщини після війни є важливим для відновлення та збереження культурної ідентичності України. Підхід до реставрації має </w:t>
      </w:r>
      <w:r>
        <w:rPr>
          <w:rFonts w:ascii="Times New Roman" w:eastAsia="Times New Roman" w:hAnsi="Times New Roman" w:cs="Times New Roman"/>
          <w:sz w:val="28"/>
          <w:szCs w:val="28"/>
        </w:rPr>
        <w:t>бути комплексним, включаючи детальну оцінку, планування, культурну чутливість і делікатну рівновагу між збереженням та реконструкцією.</w:t>
      </w:r>
    </w:p>
    <w:p w14:paraId="0000000F" w14:textId="69D53A17" w:rsidR="00302785" w:rsidRDefault="00E42557" w:rsidP="00C0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 реставрації починається з детальної оцінки, документування та визначення збитків. Він також включає планування, як</w:t>
      </w:r>
      <w:r>
        <w:rPr>
          <w:rFonts w:ascii="Times New Roman" w:eastAsia="Times New Roman" w:hAnsi="Times New Roman" w:cs="Times New Roman"/>
          <w:sz w:val="28"/>
          <w:szCs w:val="28"/>
        </w:rPr>
        <w:t>е об'єднує оцінку, пріоритетизацію та залучення громади. Ключовим є повага до культурного значення зруйнованої спадщини, що передбачає збереження автентичності, залучення місцевих до прийняття рішень і виховання почуття власності. Інтеграція традиційних те</w:t>
      </w:r>
      <w:r>
        <w:rPr>
          <w:rFonts w:ascii="Times New Roman" w:eastAsia="Times New Roman" w:hAnsi="Times New Roman" w:cs="Times New Roman"/>
          <w:sz w:val="28"/>
          <w:szCs w:val="28"/>
        </w:rPr>
        <w:t>хнік поєднує минуле з сучасністю. Сут</w:t>
      </w:r>
      <w:r w:rsidR="00F458B5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реставрації є балансування між автентичністю та реконструкцією, що забезпечує стабільність відновленої будівлі. Відновлення спадщини свідчить про стійкість людства та прагнення зберегти історію, відновлюючи дух минул</w:t>
      </w:r>
      <w:r>
        <w:rPr>
          <w:rFonts w:ascii="Times New Roman" w:eastAsia="Times New Roman" w:hAnsi="Times New Roman" w:cs="Times New Roman"/>
          <w:sz w:val="28"/>
          <w:szCs w:val="28"/>
        </w:rPr>
        <w:t>ого.</w:t>
      </w:r>
    </w:p>
    <w:p w14:paraId="4CB96A5E" w14:textId="77777777" w:rsidR="007E6389" w:rsidRPr="007E765E" w:rsidRDefault="007E6389" w:rsidP="007E638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00000011" w14:textId="12088175" w:rsidR="00302785" w:rsidRPr="00C0285A" w:rsidRDefault="00E42557" w:rsidP="00C0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 w:rsidR="00C0285A" w:rsidRPr="00C0285A">
        <w:rPr>
          <w:rFonts w:ascii="Times New Roman" w:hAnsi="Times New Roman" w:cs="Times New Roman"/>
          <w:sz w:val="28"/>
          <w:szCs w:val="28"/>
        </w:rPr>
        <w:t>Василенко І.А., Півоваров О.А., Трус І.М., Іванченко А.В. Урбоекологія</w:t>
      </w:r>
      <w:r w:rsidR="00F458B5">
        <w:rPr>
          <w:rFonts w:ascii="Times New Roman" w:hAnsi="Times New Roman" w:cs="Times New Roman"/>
          <w:sz w:val="28"/>
          <w:szCs w:val="28"/>
        </w:rPr>
        <w:t xml:space="preserve"> </w:t>
      </w:r>
      <w:r w:rsidR="00C0285A" w:rsidRPr="00C0285A">
        <w:rPr>
          <w:rFonts w:ascii="Times New Roman" w:hAnsi="Times New Roman" w:cs="Times New Roman"/>
          <w:sz w:val="28"/>
          <w:szCs w:val="28"/>
        </w:rPr>
        <w:t>– Дніпро: Акцент ПП, 2017. – 309 с.</w:t>
      </w:r>
    </w:p>
    <w:p w14:paraId="00000012" w14:textId="77777777" w:rsidR="00302785" w:rsidRDefault="00E42557" w:rsidP="00C02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Міжнародні засади охорони нерухомої культурної спадщини. Збірник міжнародних нормативних документів. ІSBN 978-966-651-704-6. / Автор вступно</w:t>
      </w:r>
      <w:r>
        <w:rPr>
          <w:rFonts w:ascii="Times New Roman" w:eastAsia="Times New Roman" w:hAnsi="Times New Roman" w:cs="Times New Roman"/>
          <w:sz w:val="28"/>
          <w:szCs w:val="28"/>
        </w:rPr>
        <w:t>ї статті Яковина М.М. Київ : Фенікс, 2008. 176 с.</w:t>
      </w:r>
    </w:p>
    <w:p w14:paraId="00000013" w14:textId="77777777" w:rsidR="00302785" w:rsidRDefault="00E42557" w:rsidP="00C02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Nazarenko, V. (2024). 872 cultural heritage sites suffered from Russian military aggression in Ukraine. Retreived from: https://war.ukraine.ua/war-news/872- cultural-suffered-russian-military-aggression</w:t>
      </w:r>
      <w:r>
        <w:rPr>
          <w:rFonts w:ascii="Times New Roman" w:eastAsia="Times New Roman" w:hAnsi="Times New Roman" w:cs="Times New Roman"/>
          <w:sz w:val="28"/>
          <w:szCs w:val="28"/>
        </w:rPr>
        <w:t>/ [in English]</w:t>
      </w:r>
    </w:p>
    <w:p w14:paraId="00000014" w14:textId="77777777" w:rsidR="00302785" w:rsidRDefault="00E42557" w:rsidP="00C02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Івашко Ю. Філософське значення і передумови виникнення наукової реставрації пам’яток архітектури і мистецтва. Сучасні проблеми архітектури та містобудування. Київ, 2006. Вип. 16. С. 15–22.</w:t>
      </w:r>
    </w:p>
    <w:p w14:paraId="00000015" w14:textId="77777777" w:rsidR="00302785" w:rsidRDefault="00E42557" w:rsidP="00C02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Концепція національної політики щодо культурно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спадщини в Україні : проект. / Під ред. О.П. Олійник. Київ : Архітектура і престиж, 2014. </w:t>
      </w:r>
    </w:p>
    <w:p w14:paraId="00000017" w14:textId="58E9D392" w:rsidR="00302785" w:rsidRDefault="00E42557" w:rsidP="00C02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Міжнародна хартія з охорони й реставрації нерухомих пам’яток і визначних місць (Венеціанська хартія) ООН; Хартія, Міжнародний документ від </w:t>
      </w:r>
      <w:r>
        <w:rPr>
          <w:rFonts w:ascii="Times New Roman" w:eastAsia="Times New Roman" w:hAnsi="Times New Roman" w:cs="Times New Roman"/>
          <w:sz w:val="28"/>
          <w:szCs w:val="28"/>
        </w:rPr>
        <w:t>31.05.1964. URL: htt</w:t>
      </w:r>
      <w:r>
        <w:rPr>
          <w:rFonts w:ascii="Times New Roman" w:eastAsia="Times New Roman" w:hAnsi="Times New Roman" w:cs="Times New Roman"/>
          <w:sz w:val="28"/>
          <w:szCs w:val="28"/>
        </w:rPr>
        <w:t>p://zakon5.rada.gov.ua/laws/show/995_757 (дата звернення: 06.12.2023).</w:t>
      </w:r>
    </w:p>
    <w:sectPr w:rsidR="00302785" w:rsidSect="00C0285A">
      <w:pgSz w:w="11906" w:h="16838" w:code="9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85"/>
    <w:rsid w:val="00201D94"/>
    <w:rsid w:val="00302785"/>
    <w:rsid w:val="007E6389"/>
    <w:rsid w:val="00C0285A"/>
    <w:rsid w:val="00E42557"/>
    <w:rsid w:val="00F4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2580"/>
  <w15:docId w15:val="{A08AE4C5-4129-4AC6-AA19-CFF7F24B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4021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Грицуляк Галина</cp:lastModifiedBy>
  <cp:revision>4</cp:revision>
  <dcterms:created xsi:type="dcterms:W3CDTF">2024-09-19T19:04:00Z</dcterms:created>
  <dcterms:modified xsi:type="dcterms:W3CDTF">2024-09-19T19:19:00Z</dcterms:modified>
</cp:coreProperties>
</file>