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9068D" w14:textId="081A9B57" w:rsidR="00785297" w:rsidRPr="00E75BB5" w:rsidRDefault="00E75BB5" w:rsidP="00E75BB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BB5">
        <w:rPr>
          <w:rFonts w:ascii="Times New Roman" w:hAnsi="Times New Roman" w:cs="Times New Roman"/>
          <w:b/>
          <w:bCs/>
          <w:sz w:val="28"/>
          <w:szCs w:val="28"/>
        </w:rPr>
        <w:t>ПОТЕНЦІАЛ ПРОМИСЛОВОГО РОЗВИТКУ ЛЬВІВСЬКОЇ ОБЛАСТІ</w:t>
      </w:r>
    </w:p>
    <w:p w14:paraId="7FC61299" w14:textId="37BA4855" w:rsidR="00E75BB5" w:rsidRPr="00E75BB5" w:rsidRDefault="00E75BB5" w:rsidP="00E75BB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BB5">
        <w:rPr>
          <w:rFonts w:ascii="Times New Roman" w:hAnsi="Times New Roman" w:cs="Times New Roman"/>
          <w:b/>
          <w:bCs/>
          <w:sz w:val="28"/>
          <w:szCs w:val="28"/>
        </w:rPr>
        <w:t>Гахович Н.Г.</w:t>
      </w:r>
    </w:p>
    <w:p w14:paraId="0075C76A" w14:textId="3A5EFFFC" w:rsidR="00E75BB5" w:rsidRDefault="00E75BB5" w:rsidP="00E75BB5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ДУ «Інститут економіки та прогнозування НАН України», м. Київ, Україна</w:t>
      </w:r>
    </w:p>
    <w:p w14:paraId="5FD7D953" w14:textId="56CC637C" w:rsidR="00E75BB5" w:rsidRPr="00E52BCD" w:rsidRDefault="00E75BB5" w:rsidP="00E75BB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E765E">
        <w:rPr>
          <w:rFonts w:ascii="Times New Roman" w:hAnsi="Times New Roman" w:cs="Times New Roman"/>
          <w:sz w:val="28"/>
          <w:szCs w:val="28"/>
        </w:rPr>
        <w:t>e-mail: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BB5">
        <w:rPr>
          <w:rFonts w:ascii="Times New Roman" w:hAnsi="Times New Roman" w:cs="Times New Roman"/>
          <w:sz w:val="28"/>
          <w:szCs w:val="28"/>
          <w:lang w:val="en-US"/>
        </w:rPr>
        <w:t>ngahovich</w:t>
      </w:r>
      <w:r w:rsidRPr="00E52BCD">
        <w:rPr>
          <w:rFonts w:ascii="Times New Roman" w:hAnsi="Times New Roman" w:cs="Times New Roman"/>
          <w:sz w:val="28"/>
          <w:szCs w:val="28"/>
          <w:lang w:val="ru-RU"/>
        </w:rPr>
        <w:t>@</w:t>
      </w:r>
      <w:r w:rsidRPr="00E75BB5">
        <w:rPr>
          <w:rFonts w:ascii="Times New Roman" w:hAnsi="Times New Roman" w:cs="Times New Roman"/>
          <w:sz w:val="28"/>
          <w:szCs w:val="28"/>
          <w:lang w:val="en-US"/>
        </w:rPr>
        <w:t>gmail</w:t>
      </w:r>
      <w:r w:rsidRPr="00E52BC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E75BB5"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14:paraId="3775433E" w14:textId="4DB3FDC0" w:rsidR="00E75BB5" w:rsidRPr="00E52BCD" w:rsidRDefault="00E75BB5" w:rsidP="00E235B5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D1A9435" w14:textId="5EFBC77E" w:rsidR="00E75BB5" w:rsidRDefault="00CF37E4" w:rsidP="00E235B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На сьогодні Львівська область стає провідним центром економічної, зокрема промислової, активності.</w:t>
      </w:r>
      <w:r w:rsidR="00E235B5" w:rsidRPr="00E235B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Вона є однією</w:t>
      </w:r>
      <w:r w:rsidR="00E235B5" w:rsidRPr="00E235B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з найрозвиненіших областей країни в економічному, туристичному, культурному та науковому напрямках.</w:t>
      </w:r>
      <w:r w:rsidR="00E235B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E235B5" w:rsidRPr="00E235B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Регіон характеризується вигідним географічним розташуванням, що є його однією з ключових конкурентних переваг як для внутрішніх так і зовнішніх інвесторів. Дев’ять пунктів пропуску з ЄС знаходиться саме у Львівській області</w:t>
      </w:r>
      <w:r w:rsidR="00E235B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[1]</w:t>
      </w:r>
      <w:r w:rsidR="00E235B5" w:rsidRPr="00E235B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</w:p>
    <w:p w14:paraId="343E4E95" w14:textId="5CA6C8A4" w:rsidR="00DD5AAE" w:rsidRDefault="00DD5AAE" w:rsidP="001C4E60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DD5AA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Основою економіки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Львівської області</w:t>
      </w:r>
      <w:r w:rsidRPr="00DD5AA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є промисловість, яка характеризується різнопла</w:t>
      </w:r>
      <w:r w:rsidR="00CF37E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но</w:t>
      </w:r>
      <w:r w:rsidRPr="00DD5AA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вістю та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Pr="00DD5AA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багатогалузевим укладом. Для прогресивного розвитку і раціонального розміщення промислових підприємств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Львівщині</w:t>
      </w:r>
      <w:r w:rsidRPr="00DD5AA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є сприятливі передумови</w:t>
      </w:r>
      <w:r w:rsidR="007167E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та</w:t>
      </w:r>
      <w:r w:rsidRPr="00DD5AA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вигідне економіко-географічне розташування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</w:p>
    <w:p w14:paraId="3FAF2E4A" w14:textId="77261976" w:rsidR="00F3781C" w:rsidRDefault="001C4E60" w:rsidP="001C4E60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Обсяг виробленої промислової продукції Львівської області у 2022 році склав 207,8 млрд грн або на 16,6% більше ніж у 2021 році (у 2021 році – 178,2 млрд грн)</w:t>
      </w:r>
      <w:r w:rsidR="00F3781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  <w:r w:rsidR="00FB2E1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FB2E13" w:rsidRPr="00FB2E1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У структурі промисловості </w:t>
      </w:r>
      <w:r w:rsidR="00FB2E1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області</w:t>
      </w:r>
      <w:r w:rsidR="00FB2E13" w:rsidRPr="00FB2E1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за обсягом реалізованої продукції найбільшу питому вагу займає переробна промисловість</w:t>
      </w:r>
      <w:r w:rsidR="00FB2E1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– 67,7%</w:t>
      </w:r>
      <w:r w:rsidR="00FB2E13" w:rsidRPr="00FB2E1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 серед видів якої домінує виробництво харчових продуктів, напоїв та тютюнових виробів (</w:t>
      </w:r>
      <w:r w:rsidR="00FB2E1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44</w:t>
      </w:r>
      <w:r w:rsidR="00FB2E13" w:rsidRPr="00FB2E1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%)</w:t>
      </w:r>
      <w:r w:rsidR="004D6BC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r w:rsidR="00E926C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виготовлення виробів з деревини (14,92%); машинобудування (13,75%); виробництво гумових та пластмасових виробів (7,77%); металургійне виробництво (5,83%); текстильне виробництво (4,15%); інші види </w:t>
      </w:r>
      <w:r w:rsidR="00CF37E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промислової </w:t>
      </w:r>
      <w:r w:rsidR="00E926C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діяльності (9,62%)</w:t>
      </w:r>
      <w:r w:rsidR="00FB2E13" w:rsidRPr="00FB2E1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(</w:t>
      </w:r>
      <w:r w:rsidR="00FB2E1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рис</w:t>
      </w:r>
      <w:r w:rsidR="00FB2E13" w:rsidRPr="00FB2E1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 1)</w:t>
      </w:r>
      <w:r w:rsidR="00E961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[2]</w:t>
      </w:r>
      <w:r w:rsidR="00FB2E13" w:rsidRPr="00FB2E1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</w:p>
    <w:p w14:paraId="74240D44" w14:textId="364448A6" w:rsidR="005B181F" w:rsidRPr="008E2232" w:rsidRDefault="00CF37E4" w:rsidP="00CF37E4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8E223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Збільшення обсягів виробництва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переробної промисловості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 як видно на рис. 1,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Pr="008E223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відбулось на підприємствах з </w:t>
      </w:r>
      <w:r w:rsidRPr="009932D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виробництва харчових продуктів, напоїв та тютюнових виробів (на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29</w:t>
      </w:r>
      <w:r w:rsidRPr="009932D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%), з виготовлення виробів з деревини, виробництва паперу та поліграфічної діяльності (на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11,3</w:t>
      </w:r>
      <w:r w:rsidRPr="009932D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%), підприємства машинобудування (на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33</w:t>
      </w:r>
      <w:r w:rsidRPr="009932D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%).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Водночас відбулося скорочення випуску на підприємствах</w:t>
      </w:r>
      <w:r w:rsidR="005B181F" w:rsidRPr="009932D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з </w:t>
      </w:r>
      <w:r w:rsidR="005B181F" w:rsidRPr="00FF314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текстильного виробництва, виробництва одягу, шкіри, виробів зі шкіри та інших матеріалів (на </w:t>
      </w:r>
      <w:r w:rsidR="005B181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12,4</w:t>
      </w:r>
      <w:r w:rsidR="005B181F" w:rsidRPr="00FF314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%)</w:t>
      </w:r>
      <w:r w:rsidR="005B181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; з металургійного виробництва, виробництва готових металевих виробів, крім машин і устаткування (на 20,1%); з </w:t>
      </w:r>
      <w:r w:rsidR="005B181F" w:rsidRPr="008E223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виробництв</w:t>
      </w:r>
      <w:r w:rsidR="005B181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</w:t>
      </w:r>
      <w:r w:rsidR="005B181F" w:rsidRPr="008E223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гумових і пластмасових виробів, іншої неметалевої мінеральної продукції</w:t>
      </w:r>
      <w:r w:rsidR="005B181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(на 8,5%).</w:t>
      </w:r>
    </w:p>
    <w:p w14:paraId="13385BBD" w14:textId="77777777" w:rsidR="005B181F" w:rsidRDefault="005B181F" w:rsidP="001C4E60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14:paraId="3C0F7059" w14:textId="77777777" w:rsidR="00FB2E13" w:rsidRDefault="00FB2E13" w:rsidP="00FB2E13">
      <w:pPr>
        <w:spacing w:after="0" w:line="276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6586C351" wp14:editId="092F707B">
            <wp:extent cx="5429250" cy="2872740"/>
            <wp:effectExtent l="0" t="0" r="0" b="3810"/>
            <wp:docPr id="1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5AB28E5" w14:textId="77777777" w:rsidR="00E96189" w:rsidRDefault="00FB2E13" w:rsidP="00FB2E13">
      <w:pPr>
        <w:spacing w:after="0" w:line="276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6E4965">
        <w:rPr>
          <w:rFonts w:ascii="Times New Roman" w:hAnsi="Times New Roman" w:cs="Times New Roman"/>
          <w:noProof/>
          <w:sz w:val="28"/>
          <w:szCs w:val="28"/>
        </w:rPr>
        <w:t>Рис. 1. Структура обсягі</w:t>
      </w:r>
      <w:r>
        <w:rPr>
          <w:rFonts w:ascii="Times New Roman" w:hAnsi="Times New Roman" w:cs="Times New Roman"/>
          <w:noProof/>
          <w:sz w:val="28"/>
          <w:szCs w:val="28"/>
        </w:rPr>
        <w:t>в</w:t>
      </w:r>
      <w:r w:rsidRPr="006E4965">
        <w:rPr>
          <w:rFonts w:ascii="Times New Roman" w:hAnsi="Times New Roman" w:cs="Times New Roman"/>
          <w:noProof/>
          <w:sz w:val="28"/>
          <w:szCs w:val="28"/>
        </w:rPr>
        <w:t xml:space="preserve"> переробної промисловості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Львівської області</w:t>
      </w:r>
      <w:r w:rsidR="00E96189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3755D289" w14:textId="47294790" w:rsidR="00FB2E13" w:rsidRDefault="00E96189" w:rsidP="00FB2E13">
      <w:pPr>
        <w:spacing w:after="0" w:line="276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за 2021-2022 роки</w:t>
      </w:r>
      <w:r w:rsidR="00FB2E13" w:rsidRPr="006E4965">
        <w:rPr>
          <w:rFonts w:ascii="Times New Roman" w:hAnsi="Times New Roman" w:cs="Times New Roman"/>
          <w:noProof/>
          <w:sz w:val="28"/>
          <w:szCs w:val="28"/>
        </w:rPr>
        <w:t>, %</w:t>
      </w:r>
      <w:r w:rsidR="00FB2E13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1EDAA018" w14:textId="77777777" w:rsidR="009932D3" w:rsidRDefault="009932D3" w:rsidP="001C4E60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14:paraId="3C1CFCD2" w14:textId="3A019933" w:rsidR="00854691" w:rsidRDefault="0091294B" w:rsidP="001C4E60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</w:t>
      </w:r>
      <w:r w:rsidR="004A7FB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ількість діючих підприємств переробної промисловості станом на 2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0</w:t>
      </w:r>
      <w:r w:rsidR="004A7FB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22 рік скла</w:t>
      </w:r>
      <w:r w:rsidR="00CF37E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ло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5B181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2169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одиниць </w:t>
      </w:r>
      <w:r w:rsidR="005B181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або на 17% менше ніж у 2021 році (2021 рік – 2606 одиниць)</w:t>
      </w:r>
      <w:r w:rsidR="00A9708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 а зайнятих на цих підприємствах у 2022 році – 95234 осіб або на 2% менше ніж у 2021 році (2021 рік – 96727 осіб).</w:t>
      </w:r>
    </w:p>
    <w:p w14:paraId="798AAC72" w14:textId="0938EEBB" w:rsidR="007074F8" w:rsidRDefault="00CF37E4" w:rsidP="0077477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</w:t>
      </w:r>
      <w:r w:rsidR="007074F8" w:rsidRPr="007074F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овномасштабне російське вторгнення стало викликом для соціально‐ економічного</w:t>
      </w:r>
      <w:r w:rsidR="007074F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 а також промислового</w:t>
      </w:r>
      <w:r w:rsidR="007074F8" w:rsidRPr="007074F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розвитку Львівської області, негативно вплинувши на окремі галузі та економіку регіону в цілому.</w:t>
      </w:r>
      <w:r w:rsidR="007074F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BA2A1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</w:t>
      </w:r>
      <w:r w:rsidR="00BA2A1A" w:rsidRPr="00BA2A1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айбільше постраждали від початку воєнних дій у Львівській області підприємства машинобудування, деревообробної</w:t>
      </w:r>
      <w:r w:rsidR="002A57B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 легкої</w:t>
      </w:r>
      <w:r w:rsidR="00BA2A1A" w:rsidRPr="00BA2A1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та </w:t>
      </w:r>
      <w:r w:rsidR="00BA2A1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металургійної</w:t>
      </w:r>
      <w:r w:rsidR="00BA2A1A" w:rsidRPr="00BA2A1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промисловості</w:t>
      </w:r>
      <w:r w:rsidR="00BA2A1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 е</w:t>
      </w:r>
      <w:r w:rsidR="00BA2A1A" w:rsidRPr="00BA2A1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нергетичні об'єкти в регіоні</w:t>
      </w:r>
      <w:r w:rsidR="006E649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теж</w:t>
      </w:r>
      <w:r w:rsidR="00BA2A1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BA2A1A" w:rsidRPr="00BA2A1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зазнали серйозних пошкоджень, що призвело до значного зниження виробництва та споживання електроенергії.</w:t>
      </w:r>
    </w:p>
    <w:p w14:paraId="377D01B6" w14:textId="7C210A95" w:rsidR="0077477D" w:rsidRDefault="00BA2A1A" w:rsidP="0077477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Також варто зазначити, що</w:t>
      </w:r>
      <w:r w:rsidR="0091294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з початком повномасштабного вторгнення</w:t>
      </w:r>
      <w:r w:rsidR="0017715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багат</w:t>
      </w:r>
      <w:r w:rsidR="00CF37E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ь</w:t>
      </w:r>
      <w:r w:rsidR="0017715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</w:t>
      </w:r>
      <w:r w:rsidR="00CF37E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</w:t>
      </w:r>
      <w:r w:rsidR="0017715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підприємств</w:t>
      </w:r>
      <w:r w:rsidR="00CF37E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ам</w:t>
      </w:r>
      <w:r w:rsidR="0017715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 які розташовані на територіях</w:t>
      </w:r>
      <w:r w:rsidR="00CF37E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</w:t>
      </w:r>
      <w:r w:rsidR="0017715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де відбуваються активні бойові дії, </w:t>
      </w:r>
      <w:r w:rsidR="0030668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за допомогою </w:t>
      </w:r>
      <w:r w:rsidR="00FB522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релокації </w:t>
      </w:r>
      <w:r w:rsidR="0030668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перемістили</w:t>
      </w:r>
      <w:r w:rsidR="00FB522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свої виробничі потужності у більш безпечн</w:t>
      </w:r>
      <w:r w:rsidR="00CF37E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і</w:t>
      </w:r>
      <w:r w:rsidR="00FB522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регіони. Так</w:t>
      </w:r>
      <w:r w:rsidR="00CF37E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</w:t>
      </w:r>
      <w:r w:rsidR="00FB522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у Львівську област</w:t>
      </w:r>
      <w:r w:rsidR="00CF37E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ь</w:t>
      </w:r>
      <w:r w:rsidR="00FB522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релокувало</w:t>
      </w:r>
      <w:r w:rsidR="00CF37E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ся</w:t>
      </w:r>
      <w:r w:rsidR="00FB522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237</w:t>
      </w:r>
      <w:r w:rsidR="007747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підприємств з інших областей. Станом на січень 2024 року залишилися 161 підприємств і 56 переєструвалися як платники податків у Львівській області, а 76 повернулися на свої попередні місця дислокації [</w:t>
      </w:r>
      <w:r w:rsidR="00A9708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3</w:t>
      </w:r>
      <w:r w:rsidR="007747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]. Найбільше підприємств, </w:t>
      </w:r>
      <w:r w:rsidR="007747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lastRenderedPageBreak/>
        <w:t>які переїхали, це підприємства легкої промисловості, металообробки, харчової промисловості та машинобудування.</w:t>
      </w:r>
      <w:r w:rsidR="006A047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</w:p>
    <w:p w14:paraId="4FCCF802" w14:textId="2C31CDCD" w:rsidR="006E4965" w:rsidRPr="00E96189" w:rsidRDefault="00D87482" w:rsidP="006E49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0668A">
        <w:rPr>
          <w:rFonts w:ascii="Times New Roman" w:hAnsi="Times New Roman" w:cs="Times New Roman"/>
          <w:sz w:val="28"/>
          <w:szCs w:val="28"/>
        </w:rPr>
        <w:t xml:space="preserve">езважаючи </w:t>
      </w:r>
      <w:r w:rsidR="00D218D4">
        <w:rPr>
          <w:rFonts w:ascii="Times New Roman" w:hAnsi="Times New Roman" w:cs="Times New Roman"/>
          <w:sz w:val="28"/>
          <w:szCs w:val="28"/>
        </w:rPr>
        <w:t xml:space="preserve">на </w:t>
      </w:r>
      <w:r w:rsidR="0030668A">
        <w:rPr>
          <w:rFonts w:ascii="Times New Roman" w:hAnsi="Times New Roman" w:cs="Times New Roman"/>
          <w:sz w:val="28"/>
          <w:szCs w:val="28"/>
        </w:rPr>
        <w:t>ва</w:t>
      </w:r>
      <w:r w:rsidR="00D218D4">
        <w:rPr>
          <w:rFonts w:ascii="Times New Roman" w:hAnsi="Times New Roman" w:cs="Times New Roman"/>
          <w:sz w:val="28"/>
          <w:szCs w:val="28"/>
        </w:rPr>
        <w:t xml:space="preserve">жкі часи, </w:t>
      </w:r>
      <w:r w:rsidR="0033656D" w:rsidRPr="0033656D">
        <w:rPr>
          <w:rFonts w:ascii="Times New Roman" w:hAnsi="Times New Roman" w:cs="Times New Roman"/>
          <w:sz w:val="28"/>
          <w:szCs w:val="28"/>
        </w:rPr>
        <w:t xml:space="preserve">Львівщина </w:t>
      </w:r>
      <w:r w:rsidR="00D218D4">
        <w:rPr>
          <w:rFonts w:ascii="Times New Roman" w:hAnsi="Times New Roman" w:cs="Times New Roman"/>
          <w:sz w:val="28"/>
          <w:szCs w:val="28"/>
        </w:rPr>
        <w:t xml:space="preserve">залишається </w:t>
      </w:r>
      <w:r w:rsidR="0033656D" w:rsidRPr="0033656D">
        <w:rPr>
          <w:rFonts w:ascii="Times New Roman" w:hAnsi="Times New Roman" w:cs="Times New Roman"/>
          <w:sz w:val="28"/>
          <w:szCs w:val="28"/>
        </w:rPr>
        <w:t>динамічни</w:t>
      </w:r>
      <w:r w:rsidR="00D218D4">
        <w:rPr>
          <w:rFonts w:ascii="Times New Roman" w:hAnsi="Times New Roman" w:cs="Times New Roman"/>
          <w:sz w:val="28"/>
          <w:szCs w:val="28"/>
        </w:rPr>
        <w:t>м</w:t>
      </w:r>
      <w:r w:rsidR="0033656D" w:rsidRPr="0033656D">
        <w:rPr>
          <w:rFonts w:ascii="Times New Roman" w:hAnsi="Times New Roman" w:cs="Times New Roman"/>
          <w:sz w:val="28"/>
          <w:szCs w:val="28"/>
        </w:rPr>
        <w:t xml:space="preserve"> європейськи</w:t>
      </w:r>
      <w:r w:rsidR="00D218D4">
        <w:rPr>
          <w:rFonts w:ascii="Times New Roman" w:hAnsi="Times New Roman" w:cs="Times New Roman"/>
          <w:sz w:val="28"/>
          <w:szCs w:val="28"/>
        </w:rPr>
        <w:t>м</w:t>
      </w:r>
      <w:r w:rsidR="0033656D" w:rsidRPr="0033656D">
        <w:rPr>
          <w:rFonts w:ascii="Times New Roman" w:hAnsi="Times New Roman" w:cs="Times New Roman"/>
          <w:sz w:val="28"/>
          <w:szCs w:val="28"/>
        </w:rPr>
        <w:t xml:space="preserve"> регіон</w:t>
      </w:r>
      <w:r w:rsidR="00D218D4">
        <w:rPr>
          <w:rFonts w:ascii="Times New Roman" w:hAnsi="Times New Roman" w:cs="Times New Roman"/>
          <w:sz w:val="28"/>
          <w:szCs w:val="28"/>
        </w:rPr>
        <w:t>ом</w:t>
      </w:r>
      <w:r w:rsidR="0033656D" w:rsidRPr="0033656D">
        <w:rPr>
          <w:rFonts w:ascii="Times New Roman" w:hAnsi="Times New Roman" w:cs="Times New Roman"/>
          <w:sz w:val="28"/>
          <w:szCs w:val="28"/>
        </w:rPr>
        <w:t>, який вдосконалює бізнес</w:t>
      </w:r>
      <w:r w:rsidR="0016014C">
        <w:rPr>
          <w:rFonts w:ascii="Times New Roman" w:hAnsi="Times New Roman" w:cs="Times New Roman"/>
          <w:sz w:val="28"/>
          <w:szCs w:val="28"/>
        </w:rPr>
        <w:t xml:space="preserve"> </w:t>
      </w:r>
      <w:r w:rsidR="0033656D" w:rsidRPr="0033656D">
        <w:rPr>
          <w:rFonts w:ascii="Times New Roman" w:hAnsi="Times New Roman" w:cs="Times New Roman"/>
          <w:sz w:val="28"/>
          <w:szCs w:val="28"/>
        </w:rPr>
        <w:t xml:space="preserve">клімат аби конкурувати на глобальному рівні, створюючи нові можливості для бізнесу, а також належить до найпривабливіших </w:t>
      </w:r>
      <w:r w:rsidR="0030668A">
        <w:rPr>
          <w:rFonts w:ascii="Times New Roman" w:hAnsi="Times New Roman" w:cs="Times New Roman"/>
          <w:sz w:val="28"/>
          <w:szCs w:val="28"/>
        </w:rPr>
        <w:t xml:space="preserve">з точки зору інвестування </w:t>
      </w:r>
      <w:r w:rsidR="0033656D" w:rsidRPr="0033656D">
        <w:rPr>
          <w:rFonts w:ascii="Times New Roman" w:hAnsi="Times New Roman" w:cs="Times New Roman"/>
          <w:sz w:val="28"/>
          <w:szCs w:val="28"/>
        </w:rPr>
        <w:t>регіонів України.</w:t>
      </w:r>
      <w:r w:rsidR="0016014C">
        <w:rPr>
          <w:rFonts w:ascii="Times New Roman" w:hAnsi="Times New Roman" w:cs="Times New Roman"/>
          <w:sz w:val="28"/>
          <w:szCs w:val="28"/>
        </w:rPr>
        <w:t xml:space="preserve"> </w:t>
      </w:r>
      <w:r w:rsidR="00735CCB">
        <w:rPr>
          <w:rFonts w:ascii="Times New Roman" w:hAnsi="Times New Roman" w:cs="Times New Roman"/>
          <w:sz w:val="28"/>
          <w:szCs w:val="28"/>
        </w:rPr>
        <w:t>Так, у Львівський області було реєстровано 1</w:t>
      </w:r>
      <w:r w:rsidR="00591F7C">
        <w:rPr>
          <w:rFonts w:ascii="Times New Roman" w:hAnsi="Times New Roman" w:cs="Times New Roman"/>
          <w:sz w:val="28"/>
          <w:szCs w:val="28"/>
        </w:rPr>
        <w:t>3</w:t>
      </w:r>
      <w:r w:rsidR="00735CCB">
        <w:rPr>
          <w:rFonts w:ascii="Times New Roman" w:hAnsi="Times New Roman" w:cs="Times New Roman"/>
          <w:sz w:val="28"/>
          <w:szCs w:val="28"/>
        </w:rPr>
        <w:t xml:space="preserve"> індустріальних парків, з них 4</w:t>
      </w:r>
      <w:r w:rsidR="0030668A">
        <w:rPr>
          <w:rFonts w:ascii="Times New Roman" w:hAnsi="Times New Roman" w:cs="Times New Roman"/>
          <w:sz w:val="28"/>
          <w:szCs w:val="28"/>
        </w:rPr>
        <w:t xml:space="preserve"> </w:t>
      </w:r>
      <w:r w:rsidR="0030668A">
        <w:rPr>
          <w:rFonts w:ascii="Times New Roman" w:hAnsi="Times New Roman" w:cs="Times New Roman"/>
          <w:sz w:val="28"/>
          <w:szCs w:val="28"/>
        </w:rPr>
        <w:t>–</w:t>
      </w:r>
      <w:r w:rsidR="00735CCB">
        <w:rPr>
          <w:rFonts w:ascii="Times New Roman" w:hAnsi="Times New Roman" w:cs="Times New Roman"/>
          <w:sz w:val="28"/>
          <w:szCs w:val="28"/>
        </w:rPr>
        <w:t xml:space="preserve"> за період повномасштабної війни в Україні і планується збудувати </w:t>
      </w:r>
      <w:r w:rsidR="0030668A">
        <w:rPr>
          <w:rFonts w:ascii="Times New Roman" w:hAnsi="Times New Roman" w:cs="Times New Roman"/>
          <w:sz w:val="28"/>
          <w:szCs w:val="28"/>
        </w:rPr>
        <w:t xml:space="preserve">ще </w:t>
      </w:r>
      <w:r w:rsidR="00591F7C">
        <w:rPr>
          <w:rFonts w:ascii="Times New Roman" w:hAnsi="Times New Roman" w:cs="Times New Roman"/>
          <w:sz w:val="28"/>
          <w:szCs w:val="28"/>
        </w:rPr>
        <w:t>4</w:t>
      </w:r>
      <w:r w:rsidR="0030668A">
        <w:rPr>
          <w:rFonts w:ascii="Times New Roman" w:hAnsi="Times New Roman" w:cs="Times New Roman"/>
          <w:sz w:val="28"/>
          <w:szCs w:val="28"/>
        </w:rPr>
        <w:t xml:space="preserve"> </w:t>
      </w:r>
      <w:r w:rsidR="00735CCB">
        <w:rPr>
          <w:rFonts w:ascii="Times New Roman" w:hAnsi="Times New Roman" w:cs="Times New Roman"/>
          <w:sz w:val="28"/>
          <w:szCs w:val="28"/>
        </w:rPr>
        <w:t>і</w:t>
      </w:r>
      <w:r w:rsidR="0030668A">
        <w:rPr>
          <w:rFonts w:ascii="Times New Roman" w:hAnsi="Times New Roman" w:cs="Times New Roman"/>
          <w:sz w:val="28"/>
          <w:szCs w:val="28"/>
        </w:rPr>
        <w:t>ндустріальні парки</w:t>
      </w:r>
      <w:r w:rsidR="00E96189">
        <w:rPr>
          <w:rFonts w:ascii="Times New Roman" w:hAnsi="Times New Roman" w:cs="Times New Roman"/>
          <w:sz w:val="28"/>
          <w:szCs w:val="28"/>
        </w:rPr>
        <w:t xml:space="preserve"> </w:t>
      </w:r>
      <w:r w:rsidR="00E96189" w:rsidRPr="00E96189">
        <w:rPr>
          <w:rFonts w:ascii="Times New Roman" w:hAnsi="Times New Roman" w:cs="Times New Roman"/>
          <w:sz w:val="28"/>
          <w:szCs w:val="28"/>
        </w:rPr>
        <w:t>[</w:t>
      </w:r>
      <w:r w:rsidR="00E96189">
        <w:rPr>
          <w:rFonts w:ascii="Times New Roman" w:hAnsi="Times New Roman" w:cs="Times New Roman"/>
          <w:sz w:val="28"/>
          <w:szCs w:val="28"/>
        </w:rPr>
        <w:t>4</w:t>
      </w:r>
      <w:r w:rsidR="00E96189" w:rsidRPr="00E96189">
        <w:rPr>
          <w:rFonts w:ascii="Times New Roman" w:hAnsi="Times New Roman" w:cs="Times New Roman"/>
          <w:sz w:val="28"/>
          <w:szCs w:val="28"/>
        </w:rPr>
        <w:t>]</w:t>
      </w:r>
      <w:r w:rsidR="0030668A" w:rsidRPr="00E96189">
        <w:rPr>
          <w:rFonts w:ascii="Times New Roman" w:hAnsi="Times New Roman" w:cs="Times New Roman"/>
          <w:sz w:val="28"/>
          <w:szCs w:val="28"/>
        </w:rPr>
        <w:t>.</w:t>
      </w:r>
    </w:p>
    <w:p w14:paraId="3CB2B797" w14:textId="1A9FDFDB" w:rsidR="00733B99" w:rsidRPr="000843DF" w:rsidRDefault="0030668A" w:rsidP="00AB2EDB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  <w:shd w:val="clear" w:color="auto" w:fill="FFFFFF"/>
        </w:rPr>
      </w:pPr>
      <w:r>
        <w:rPr>
          <w:sz w:val="28"/>
          <w:szCs w:val="28"/>
        </w:rPr>
        <w:t>Водночас</w:t>
      </w:r>
      <w:r w:rsidR="00D8748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843DF" w:rsidRPr="000843DF">
        <w:rPr>
          <w:sz w:val="28"/>
          <w:szCs w:val="28"/>
        </w:rPr>
        <w:t xml:space="preserve">Львівська </w:t>
      </w:r>
      <w:r w:rsidR="00D87482">
        <w:rPr>
          <w:sz w:val="28"/>
          <w:szCs w:val="28"/>
        </w:rPr>
        <w:t xml:space="preserve">обласна адміністрація, щоб не </w:t>
      </w:r>
      <w:r w:rsidR="00D87482" w:rsidRPr="000843DF">
        <w:rPr>
          <w:sz w:val="28"/>
          <w:szCs w:val="28"/>
        </w:rPr>
        <w:t xml:space="preserve">залишиться поза загальнодержавним процесом відновлення та реконструкції в рамках національних та міжнародних програм </w:t>
      </w:r>
      <w:r w:rsidR="00D87482">
        <w:rPr>
          <w:sz w:val="28"/>
          <w:szCs w:val="28"/>
        </w:rPr>
        <w:t>у 2023 році</w:t>
      </w:r>
      <w:r w:rsidR="00D87482" w:rsidRPr="000843DF">
        <w:rPr>
          <w:sz w:val="28"/>
          <w:szCs w:val="28"/>
        </w:rPr>
        <w:t xml:space="preserve"> </w:t>
      </w:r>
      <w:r w:rsidR="00D87482">
        <w:rPr>
          <w:sz w:val="28"/>
          <w:szCs w:val="28"/>
        </w:rPr>
        <w:t xml:space="preserve">оновили </w:t>
      </w:r>
      <w:r w:rsidR="00D87482" w:rsidRPr="000843DF">
        <w:rPr>
          <w:sz w:val="28"/>
          <w:szCs w:val="28"/>
        </w:rPr>
        <w:t>прийня</w:t>
      </w:r>
      <w:r w:rsidR="00D87482">
        <w:rPr>
          <w:sz w:val="28"/>
          <w:szCs w:val="28"/>
        </w:rPr>
        <w:t>ту</w:t>
      </w:r>
      <w:r w:rsidR="00D87482" w:rsidRPr="000843DF">
        <w:rPr>
          <w:sz w:val="28"/>
          <w:szCs w:val="28"/>
        </w:rPr>
        <w:t xml:space="preserve"> Стратегі</w:t>
      </w:r>
      <w:r w:rsidR="00D87482">
        <w:rPr>
          <w:sz w:val="28"/>
          <w:szCs w:val="28"/>
        </w:rPr>
        <w:t>ю</w:t>
      </w:r>
      <w:r w:rsidR="00D87482" w:rsidRPr="000843DF">
        <w:rPr>
          <w:sz w:val="28"/>
          <w:szCs w:val="28"/>
        </w:rPr>
        <w:t xml:space="preserve"> розвитку Львівської області на 2021–2027 роки з метою адаптації до викликів війни</w:t>
      </w:r>
      <w:r w:rsidR="00E96189">
        <w:rPr>
          <w:sz w:val="28"/>
          <w:szCs w:val="28"/>
        </w:rPr>
        <w:t>, яка</w:t>
      </w:r>
      <w:r w:rsidR="00D87482" w:rsidRPr="000843DF">
        <w:rPr>
          <w:sz w:val="28"/>
          <w:szCs w:val="28"/>
        </w:rPr>
        <w:t xml:space="preserve"> включа</w:t>
      </w:r>
      <w:r w:rsidR="00E96189">
        <w:rPr>
          <w:sz w:val="28"/>
          <w:szCs w:val="28"/>
        </w:rPr>
        <w:t>є</w:t>
      </w:r>
      <w:r w:rsidR="00D87482" w:rsidRPr="000843DF">
        <w:rPr>
          <w:sz w:val="28"/>
          <w:szCs w:val="28"/>
        </w:rPr>
        <w:t xml:space="preserve"> відновлення регіону та критичної інфраструктури. </w:t>
      </w:r>
      <w:r w:rsidR="000843DF" w:rsidRPr="000843DF">
        <w:rPr>
          <w:sz w:val="28"/>
          <w:szCs w:val="28"/>
        </w:rPr>
        <w:t>Львівщина також має отримати свою справедливу частку ресурсів, необхідних для майбутньої відбудови України, якими розпоряджатиметься новостворене Українське агентство відновлення та розвитку інфраструктури [</w:t>
      </w:r>
      <w:r w:rsidR="006A047F">
        <w:rPr>
          <w:sz w:val="28"/>
          <w:szCs w:val="28"/>
        </w:rPr>
        <w:t>5</w:t>
      </w:r>
      <w:r w:rsidR="000843DF" w:rsidRPr="000843DF">
        <w:rPr>
          <w:sz w:val="28"/>
          <w:szCs w:val="28"/>
        </w:rPr>
        <w:t>].</w:t>
      </w:r>
    </w:p>
    <w:p w14:paraId="1D65E5B2" w14:textId="0B297659" w:rsidR="00AB2EDB" w:rsidRDefault="0030668A" w:rsidP="00AB2ED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Таким чином, п</w:t>
      </w:r>
      <w:r w:rsidR="00AB2EDB" w:rsidRPr="00AB2E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опри виклики, пов'язані з повномасштабним </w:t>
      </w:r>
      <w:r w:rsidR="00AB2EDB" w:rsidRPr="00AB2EDB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російським вторгненням, регіон демонструє динамічний розвиток, зокрема через створення нових індустріальних парків.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Органи регіональної влади</w:t>
      </w:r>
      <w:r w:rsidR="00AB2EDB" w:rsidRPr="00AB2E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вживають заходів для відновлення економіки та покращення бізнес-клімату, адаптуючи стратегії до сучасних умов. Важливим завданням залишається забезпечення справедливого доступу до ресурсів для відбудови Львівщини та її інфраструктури.</w:t>
      </w:r>
    </w:p>
    <w:p w14:paraId="50ADDA2C" w14:textId="38979969" w:rsidR="00E96189" w:rsidRDefault="00E96189" w:rsidP="00AB2ED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20875BE" w14:textId="26CDE6DA" w:rsidR="00E96189" w:rsidRDefault="00E96189" w:rsidP="00E9618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9618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Перелік джерел посилання:</w:t>
      </w:r>
    </w:p>
    <w:p w14:paraId="441E0FBD" w14:textId="77777777" w:rsidR="005B3E45" w:rsidRPr="00E96189" w:rsidRDefault="005B3E45" w:rsidP="00E9618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bookmarkStart w:id="0" w:name="_GoBack"/>
      <w:bookmarkEnd w:id="0"/>
    </w:p>
    <w:p w14:paraId="54182261" w14:textId="77777777" w:rsidR="00E96189" w:rsidRPr="00E96189" w:rsidRDefault="00E96189" w:rsidP="00E96189">
      <w:pPr>
        <w:pStyle w:val="a5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189">
        <w:rPr>
          <w:rFonts w:ascii="Times New Roman" w:hAnsi="Times New Roman" w:cs="Times New Roman"/>
          <w:sz w:val="28"/>
          <w:szCs w:val="28"/>
        </w:rPr>
        <w:t xml:space="preserve">Львівська обласна рада. Паспорт Львівської області. </w:t>
      </w:r>
      <w:r w:rsidRPr="00E9618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E96189">
        <w:rPr>
          <w:rFonts w:ascii="Times New Roman" w:hAnsi="Times New Roman" w:cs="Times New Roman"/>
          <w:sz w:val="28"/>
          <w:szCs w:val="28"/>
        </w:rPr>
        <w:t>: https://lvivoblrada.gov.ua/about-the-council/pasport-lvivskoji-oblasti</w:t>
      </w:r>
    </w:p>
    <w:p w14:paraId="2AE5194D" w14:textId="00AAD686" w:rsidR="00E96189" w:rsidRPr="00E96189" w:rsidRDefault="00E96189" w:rsidP="00E96189">
      <w:pPr>
        <w:pStyle w:val="ab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189">
        <w:rPr>
          <w:rFonts w:ascii="Times New Roman" w:hAnsi="Times New Roman" w:cs="Times New Roman"/>
          <w:noProof/>
          <w:sz w:val="28"/>
          <w:szCs w:val="28"/>
        </w:rPr>
        <w:t>Держ</w:t>
      </w:r>
      <w:r w:rsidRPr="00E96189">
        <w:rPr>
          <w:rFonts w:ascii="Times New Roman" w:hAnsi="Times New Roman" w:cs="Times New Roman"/>
          <w:noProof/>
          <w:sz w:val="28"/>
          <w:szCs w:val="28"/>
        </w:rPr>
        <w:t xml:space="preserve">авної служби статистики України. </w:t>
      </w:r>
      <w:r w:rsidRPr="00E9618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E96189">
        <w:rPr>
          <w:rFonts w:ascii="Times New Roman" w:hAnsi="Times New Roman" w:cs="Times New Roman"/>
          <w:sz w:val="28"/>
          <w:szCs w:val="28"/>
        </w:rPr>
        <w:t>:</w:t>
      </w:r>
      <w:r w:rsidRPr="00E96189">
        <w:rPr>
          <w:rFonts w:ascii="Times New Roman" w:hAnsi="Times New Roman" w:cs="Times New Roman"/>
          <w:sz w:val="28"/>
          <w:szCs w:val="28"/>
        </w:rPr>
        <w:t xml:space="preserve"> https://www.ukrstat.gov.ua/operativ/menu/menu_u/sze_20.htm</w:t>
      </w:r>
    </w:p>
    <w:p w14:paraId="219AB6F8" w14:textId="77777777" w:rsidR="00E96189" w:rsidRPr="00E96189" w:rsidRDefault="00E96189" w:rsidP="00E96189">
      <w:pPr>
        <w:pStyle w:val="ab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189">
        <w:rPr>
          <w:rFonts w:ascii="Times New Roman" w:hAnsi="Times New Roman" w:cs="Times New Roman"/>
          <w:sz w:val="28"/>
          <w:szCs w:val="28"/>
        </w:rPr>
        <w:t xml:space="preserve">Релокований бізнес. Скільки підприємств платять податки у бюджет Львівщини. 2024. </w:t>
      </w:r>
      <w:r w:rsidRPr="00E9618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E96189">
        <w:rPr>
          <w:rFonts w:ascii="Times New Roman" w:hAnsi="Times New Roman" w:cs="Times New Roman"/>
          <w:sz w:val="28"/>
          <w:szCs w:val="28"/>
        </w:rPr>
        <w:t>: https://tvoemisto.tv/news/ponad_230_pidpryiemstv_z_inshyh_oblastey_relokuvaly_na_lvivshchynu_z_pochatku_povnomasshtabnogo_vtorgnennya_159529.html</w:t>
      </w:r>
    </w:p>
    <w:p w14:paraId="0C4E8873" w14:textId="04FF4D94" w:rsidR="00E96189" w:rsidRPr="00E96189" w:rsidRDefault="00E96189" w:rsidP="00E96189">
      <w:pPr>
        <w:pStyle w:val="ab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189">
        <w:rPr>
          <w:rFonts w:ascii="Times New Roman" w:hAnsi="Times New Roman" w:cs="Times New Roman"/>
          <w:sz w:val="28"/>
          <w:szCs w:val="28"/>
        </w:rPr>
        <w:t>Львівщина займає перше місце за кількістю релокованого бізнесу</w:t>
      </w:r>
      <w:r w:rsidRPr="00E96189">
        <w:rPr>
          <w:rFonts w:ascii="Times New Roman" w:hAnsi="Times New Roman" w:cs="Times New Roman"/>
          <w:sz w:val="28"/>
          <w:szCs w:val="28"/>
        </w:rPr>
        <w:t xml:space="preserve">.  Перший захід. 2023. </w:t>
      </w:r>
      <w:r w:rsidRPr="00E9618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E96189">
        <w:rPr>
          <w:rFonts w:ascii="Times New Roman" w:hAnsi="Times New Roman" w:cs="Times New Roman"/>
          <w:sz w:val="28"/>
          <w:szCs w:val="28"/>
        </w:rPr>
        <w:t>:</w:t>
      </w:r>
      <w:r w:rsidRPr="00E96189">
        <w:rPr>
          <w:rFonts w:ascii="Times New Roman" w:hAnsi="Times New Roman" w:cs="Times New Roman"/>
          <w:sz w:val="28"/>
          <w:szCs w:val="28"/>
        </w:rPr>
        <w:t xml:space="preserve"> https://1zahid.com/info/lvivshhyna-zajmaye-pershe-mistse-za-kilkistyu-relokovanogo-biz</w:t>
      </w:r>
      <w:r w:rsidRPr="00E96189">
        <w:rPr>
          <w:rFonts w:ascii="Times New Roman" w:hAnsi="Times New Roman" w:cs="Times New Roman"/>
          <w:sz w:val="28"/>
          <w:szCs w:val="28"/>
        </w:rPr>
        <w:t>n</w:t>
      </w:r>
      <w:r w:rsidRPr="00E96189">
        <w:rPr>
          <w:rFonts w:ascii="Times New Roman" w:hAnsi="Times New Roman" w:cs="Times New Roman"/>
          <w:sz w:val="28"/>
          <w:szCs w:val="28"/>
        </w:rPr>
        <w:t>esu/</w:t>
      </w:r>
      <w:r w:rsidRPr="00E961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4344E3" w14:textId="0C24130E" w:rsidR="00E96189" w:rsidRPr="00E96189" w:rsidRDefault="00E96189" w:rsidP="00E96189">
      <w:pPr>
        <w:pStyle w:val="ab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189">
        <w:rPr>
          <w:rFonts w:ascii="Times New Roman" w:hAnsi="Times New Roman" w:cs="Times New Roman"/>
          <w:sz w:val="28"/>
          <w:szCs w:val="28"/>
        </w:rPr>
        <w:t>В оновленій Стратегії розвитку Львівщини врахують умови воєнного та повоєнного періоду. Львівська обласна рада. 2023. URL: https://lvivoblrada.gov.ua/news/v-onovlenii-strategiji-rozvitku-lvivshchini-vrahuyut-umovi-vojennogo-ta-povojennogo-periodu</w:t>
      </w:r>
    </w:p>
    <w:p w14:paraId="63BF8BD7" w14:textId="460D6E55" w:rsidR="00E96189" w:rsidRPr="00AB2EDB" w:rsidRDefault="00E96189" w:rsidP="00AB2ED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E96189" w:rsidRPr="00AB2EDB" w:rsidSect="00E75BB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14F38E" w14:textId="77777777" w:rsidR="00A97088" w:rsidRDefault="00A97088" w:rsidP="00A97088">
      <w:pPr>
        <w:spacing w:after="0" w:line="240" w:lineRule="auto"/>
      </w:pPr>
      <w:r>
        <w:separator/>
      </w:r>
    </w:p>
  </w:endnote>
  <w:endnote w:type="continuationSeparator" w:id="0">
    <w:p w14:paraId="0B734C7E" w14:textId="77777777" w:rsidR="00A97088" w:rsidRDefault="00A97088" w:rsidP="00A97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9AD94" w14:textId="77777777" w:rsidR="00A97088" w:rsidRDefault="00A97088" w:rsidP="00A97088">
      <w:pPr>
        <w:spacing w:after="0" w:line="240" w:lineRule="auto"/>
      </w:pPr>
      <w:r>
        <w:separator/>
      </w:r>
    </w:p>
  </w:footnote>
  <w:footnote w:type="continuationSeparator" w:id="0">
    <w:p w14:paraId="4897AD86" w14:textId="77777777" w:rsidR="00A97088" w:rsidRDefault="00A97088" w:rsidP="00A970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83380"/>
    <w:multiLevelType w:val="hybridMultilevel"/>
    <w:tmpl w:val="0A54A376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12A7547"/>
    <w:multiLevelType w:val="hybridMultilevel"/>
    <w:tmpl w:val="EBF22D54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807"/>
    <w:rsid w:val="000350E2"/>
    <w:rsid w:val="000843DF"/>
    <w:rsid w:val="0016014C"/>
    <w:rsid w:val="00177153"/>
    <w:rsid w:val="001C4E60"/>
    <w:rsid w:val="00230A64"/>
    <w:rsid w:val="00256E77"/>
    <w:rsid w:val="002A57BA"/>
    <w:rsid w:val="0030668A"/>
    <w:rsid w:val="0033656D"/>
    <w:rsid w:val="003C6BF7"/>
    <w:rsid w:val="0043686E"/>
    <w:rsid w:val="00477AFF"/>
    <w:rsid w:val="004A7FBA"/>
    <w:rsid w:val="004D6BC5"/>
    <w:rsid w:val="00533D33"/>
    <w:rsid w:val="00591F7C"/>
    <w:rsid w:val="005B181F"/>
    <w:rsid w:val="005B3E45"/>
    <w:rsid w:val="006A047F"/>
    <w:rsid w:val="006E4965"/>
    <w:rsid w:val="006E6491"/>
    <w:rsid w:val="007074F8"/>
    <w:rsid w:val="007167E1"/>
    <w:rsid w:val="00733B99"/>
    <w:rsid w:val="00735CCB"/>
    <w:rsid w:val="0077477D"/>
    <w:rsid w:val="00785297"/>
    <w:rsid w:val="007C09DD"/>
    <w:rsid w:val="00854691"/>
    <w:rsid w:val="00895A50"/>
    <w:rsid w:val="008C5EBF"/>
    <w:rsid w:val="008E2232"/>
    <w:rsid w:val="0091294B"/>
    <w:rsid w:val="009932D3"/>
    <w:rsid w:val="00A0533E"/>
    <w:rsid w:val="00A144DC"/>
    <w:rsid w:val="00A8284B"/>
    <w:rsid w:val="00A97088"/>
    <w:rsid w:val="00AB2EDB"/>
    <w:rsid w:val="00B474DF"/>
    <w:rsid w:val="00B84BF1"/>
    <w:rsid w:val="00BA2A1A"/>
    <w:rsid w:val="00CF37E4"/>
    <w:rsid w:val="00D218D4"/>
    <w:rsid w:val="00D87482"/>
    <w:rsid w:val="00DA5DA5"/>
    <w:rsid w:val="00DD5AAE"/>
    <w:rsid w:val="00E06807"/>
    <w:rsid w:val="00E06E79"/>
    <w:rsid w:val="00E235B5"/>
    <w:rsid w:val="00E52BCD"/>
    <w:rsid w:val="00E74095"/>
    <w:rsid w:val="00E75BB5"/>
    <w:rsid w:val="00E926C4"/>
    <w:rsid w:val="00E94D02"/>
    <w:rsid w:val="00E96189"/>
    <w:rsid w:val="00EA07B9"/>
    <w:rsid w:val="00EE31CE"/>
    <w:rsid w:val="00F3781C"/>
    <w:rsid w:val="00FB2E13"/>
    <w:rsid w:val="00FB522D"/>
    <w:rsid w:val="00FF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FC672"/>
  <w15:chartTrackingRefBased/>
  <w15:docId w15:val="{67C8BC25-AE72-4542-8D06-BCBE79BF9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04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35C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5BB5"/>
    <w:rPr>
      <w:color w:val="0563C1" w:themeColor="hyperlink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E75BB5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735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735CCB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5">
    <w:name w:val="footnote text"/>
    <w:basedOn w:val="a"/>
    <w:link w:val="a6"/>
    <w:uiPriority w:val="99"/>
    <w:semiHidden/>
    <w:unhideWhenUsed/>
    <w:rsid w:val="00A97088"/>
    <w:pPr>
      <w:spacing w:after="0" w:line="240" w:lineRule="auto"/>
    </w:pPr>
    <w:rPr>
      <w:sz w:val="20"/>
      <w:szCs w:val="20"/>
    </w:rPr>
  </w:style>
  <w:style w:type="character" w:customStyle="1" w:styleId="a6">
    <w:name w:val="Текст виноски Знак"/>
    <w:basedOn w:val="a0"/>
    <w:link w:val="a5"/>
    <w:uiPriority w:val="99"/>
    <w:semiHidden/>
    <w:rsid w:val="00A9708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97088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6A04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flow-hidden">
    <w:name w:val="overflow-hidden"/>
    <w:basedOn w:val="a0"/>
    <w:rsid w:val="00AB2EDB"/>
  </w:style>
  <w:style w:type="paragraph" w:styleId="a8">
    <w:name w:val="Balloon Text"/>
    <w:basedOn w:val="a"/>
    <w:link w:val="a9"/>
    <w:uiPriority w:val="99"/>
    <w:semiHidden/>
    <w:unhideWhenUsed/>
    <w:rsid w:val="00A05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A0533E"/>
    <w:rPr>
      <w:rFonts w:ascii="Segoe UI" w:hAnsi="Segoe UI" w:cs="Segoe U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E96189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E961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8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6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7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0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F:\&#1030;&#1085;&#1089;&#1090;&#1080;&#1090;&#1091;&#1090;%20&#1077;&#1082;&#1086;&#1085;&#1086;&#1084;&#1110;&#1082;&#1080;%20&#1090;&#1072;%20&#1087;&#1088;&#1086;&#1075;&#1085;&#1086;&#1079;&#1091;&#1074;&#1072;&#1085;&#1085;&#1103;\2024\&#1057;&#1090;&#1072;&#1090;&#1080;&#1089;&#1090;&#1080;&#1095;&#1085;&#1110;%20&#1076;&#1072;&#1085;&#1110;\&#1056;&#1077;&#1075;&#1110;&#1086;&#1085;&#1080;\&#1054;&#1073;&#1089;&#1103;&#1075;%20&#1074;&#1080;&#1088;&#1086;&#1073;&#1083;&#1077;&#1085;&#1086;&#1111;%20&#1087;&#1088;&#1086;&#1076;&#1091;&#1082;&#1094;&#1110;&#1111;%20_15-2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Рис!$B$3</c:f>
              <c:strCache>
                <c:ptCount val="1"/>
                <c:pt idx="0">
                  <c:v>2021</c:v>
                </c:pt>
              </c:strCache>
            </c:strRef>
          </c:tx>
          <c:spPr>
            <a:pattFill prst="pct20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2.3976608187134416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7F08-460D-9B2E-C7CB8C0C59A2}"/>
                </c:ext>
              </c:extLst>
            </c:dLbl>
            <c:dLbl>
              <c:idx val="1"/>
              <c:layout>
                <c:manualLayout>
                  <c:x val="3.6111111111111108E-2"/>
                  <c:y val="-8.438818565400921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7F08-460D-9B2E-C7CB8C0C59A2}"/>
                </c:ext>
              </c:extLst>
            </c:dLbl>
            <c:dLbl>
              <c:idx val="2"/>
              <c:layout>
                <c:manualLayout>
                  <c:x val="4.1666666666666664E-2"/>
                  <c:y val="-7.735494323860249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7F08-460D-9B2E-C7CB8C0C59A2}"/>
                </c:ext>
              </c:extLst>
            </c:dLbl>
            <c:dLbl>
              <c:idx val="3"/>
              <c:layout>
                <c:manualLayout>
                  <c:x val="1.6666666666666666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7F08-460D-9B2E-C7CB8C0C59A2}"/>
                </c:ext>
              </c:extLst>
            </c:dLbl>
            <c:dLbl>
              <c:idx val="5"/>
              <c:layout>
                <c:manualLayout>
                  <c:x val="1.9444444444444445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7F08-460D-9B2E-C7CB8C0C59A2}"/>
                </c:ext>
              </c:extLst>
            </c:dLbl>
            <c:dLbl>
              <c:idx val="6"/>
              <c:layout>
                <c:manualLayout>
                  <c:x val="0"/>
                  <c:y val="8.438818565400843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7F08-460D-9B2E-C7CB8C0C59A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Рис!$A$4:$A$10</c:f>
              <c:strCache>
                <c:ptCount val="7"/>
                <c:pt idx="0">
                  <c:v>Текстильне виробництво</c:v>
                </c:pt>
                <c:pt idx="1">
                  <c:v>Металургійне виробництво</c:v>
                </c:pt>
                <c:pt idx="2">
                  <c:v>Виробництво гумових і 
пластмасових виробів</c:v>
                </c:pt>
                <c:pt idx="3">
                  <c:v>Інші види діяльності </c:v>
                </c:pt>
                <c:pt idx="4">
                  <c:v>Машинобудування</c:v>
                </c:pt>
                <c:pt idx="5">
                  <c:v>Виготовлення виробів з 
деревини</c:v>
                </c:pt>
                <c:pt idx="6">
                  <c:v>Харчова промисловість</c:v>
                </c:pt>
              </c:strCache>
            </c:strRef>
          </c:cat>
          <c:val>
            <c:numRef>
              <c:f>Рис!$B$4:$B$10</c:f>
              <c:numCache>
                <c:formatCode>General</c:formatCode>
                <c:ptCount val="7"/>
                <c:pt idx="0">
                  <c:v>5.29</c:v>
                </c:pt>
                <c:pt idx="1">
                  <c:v>8.15</c:v>
                </c:pt>
                <c:pt idx="2">
                  <c:v>9.4700000000000006</c:v>
                </c:pt>
                <c:pt idx="3">
                  <c:v>12.6</c:v>
                </c:pt>
                <c:pt idx="4">
                  <c:v>11.53</c:v>
                </c:pt>
                <c:pt idx="5">
                  <c:v>14.95</c:v>
                </c:pt>
                <c:pt idx="6">
                  <c:v>38.01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F08-460D-9B2E-C7CB8C0C59A2}"/>
            </c:ext>
          </c:extLst>
        </c:ser>
        <c:ser>
          <c:idx val="1"/>
          <c:order val="1"/>
          <c:tx>
            <c:strRef>
              <c:f>Рис!$C$3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4"/>
              <c:layout>
                <c:manualLayout>
                  <c:x val="8.3333333333333332E-3"/>
                  <c:y val="-1.265822784810126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7F08-460D-9B2E-C7CB8C0C59A2}"/>
                </c:ext>
              </c:extLst>
            </c:dLbl>
            <c:dLbl>
              <c:idx val="5"/>
              <c:layout>
                <c:manualLayout>
                  <c:x val="-5.5555555555556572E-3"/>
                  <c:y val="-2.10970464135021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7F08-460D-9B2E-C7CB8C0C59A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Рис!$A$4:$A$10</c:f>
              <c:strCache>
                <c:ptCount val="7"/>
                <c:pt idx="0">
                  <c:v>Текстильне виробництво</c:v>
                </c:pt>
                <c:pt idx="1">
                  <c:v>Металургійне виробництво</c:v>
                </c:pt>
                <c:pt idx="2">
                  <c:v>Виробництво гумових і 
пластмасових виробів</c:v>
                </c:pt>
                <c:pt idx="3">
                  <c:v>Інші види діяльності </c:v>
                </c:pt>
                <c:pt idx="4">
                  <c:v>Машинобудування</c:v>
                </c:pt>
                <c:pt idx="5">
                  <c:v>Виготовлення виробів з 
деревини</c:v>
                </c:pt>
                <c:pt idx="6">
                  <c:v>Харчова промисловість</c:v>
                </c:pt>
              </c:strCache>
            </c:strRef>
          </c:cat>
          <c:val>
            <c:numRef>
              <c:f>Рис!$C$4:$C$10</c:f>
              <c:numCache>
                <c:formatCode>General</c:formatCode>
                <c:ptCount val="7"/>
                <c:pt idx="0">
                  <c:v>4.1500000000000004</c:v>
                </c:pt>
                <c:pt idx="1">
                  <c:v>5.83</c:v>
                </c:pt>
                <c:pt idx="2">
                  <c:v>7.77</c:v>
                </c:pt>
                <c:pt idx="3">
                  <c:v>9.6199999999999992</c:v>
                </c:pt>
                <c:pt idx="4">
                  <c:v>13.75</c:v>
                </c:pt>
                <c:pt idx="5">
                  <c:v>14.92</c:v>
                </c:pt>
                <c:pt idx="6">
                  <c:v>43.96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7F08-460D-9B2E-C7CB8C0C59A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594963120"/>
        <c:axId val="594962704"/>
      </c:barChart>
      <c:catAx>
        <c:axId val="5949631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uk-UA"/>
          </a:p>
        </c:txPr>
        <c:crossAx val="594962704"/>
        <c:crosses val="autoZero"/>
        <c:auto val="1"/>
        <c:lblAlgn val="ctr"/>
        <c:lblOffset val="100"/>
        <c:noMultiLvlLbl val="0"/>
      </c:catAx>
      <c:valAx>
        <c:axId val="5949627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uk-UA"/>
          </a:p>
        </c:txPr>
        <c:crossAx val="5949631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uk-U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A18AF-24E4-406C-BF03-D12F8583F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3831</Words>
  <Characters>2185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Гахович</dc:creator>
  <cp:keywords/>
  <dc:description/>
  <cp:lastModifiedBy>User</cp:lastModifiedBy>
  <cp:revision>7</cp:revision>
  <cp:lastPrinted>2024-09-20T07:31:00Z</cp:lastPrinted>
  <dcterms:created xsi:type="dcterms:W3CDTF">2024-09-20T10:53:00Z</dcterms:created>
  <dcterms:modified xsi:type="dcterms:W3CDTF">2024-09-20T12:17:00Z</dcterms:modified>
</cp:coreProperties>
</file>