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287" w:rsidRPr="00896287" w:rsidRDefault="00896287" w:rsidP="00896287">
      <w:pPr>
        <w:pStyle w:val="a3"/>
        <w:spacing w:before="0" w:beforeAutospacing="0" w:after="0" w:afterAutospacing="0"/>
        <w:ind w:firstLine="709"/>
        <w:jc w:val="center"/>
        <w:rPr>
          <w:b/>
          <w:bCs/>
          <w:color w:val="000000"/>
          <w:sz w:val="28"/>
          <w:szCs w:val="28"/>
          <w:lang w:val="uk-UA"/>
        </w:rPr>
      </w:pPr>
      <w:r w:rsidRPr="00896287">
        <w:rPr>
          <w:b/>
          <w:bCs/>
          <w:color w:val="000000"/>
          <w:sz w:val="28"/>
          <w:szCs w:val="28"/>
        </w:rPr>
        <w:t>ЕКОЛОГІЧНІ РЕФОРМИ ЯК ОСНОВА ЗЕЛЕНОГО ВІДНОВЛЕННЯ УКРАЇНИ</w:t>
      </w:r>
    </w:p>
    <w:p w:rsidR="00896287" w:rsidRPr="00D45E3A" w:rsidRDefault="00896287" w:rsidP="00896287">
      <w:pPr>
        <w:spacing w:line="360" w:lineRule="auto"/>
        <w:ind w:left="567"/>
        <w:jc w:val="right"/>
        <w:rPr>
          <w:rFonts w:ascii="Times New Roman" w:hAnsi="Times New Roman" w:cs="Times New Roman"/>
          <w:b/>
          <w:bCs/>
          <w:sz w:val="28"/>
          <w:szCs w:val="28"/>
          <w:lang w:val="uk-UA"/>
        </w:rPr>
      </w:pPr>
      <w:r w:rsidRPr="00D45E3A">
        <w:rPr>
          <w:rFonts w:ascii="Times New Roman" w:hAnsi="Times New Roman" w:cs="Times New Roman"/>
          <w:b/>
          <w:bCs/>
          <w:sz w:val="28"/>
          <w:szCs w:val="28"/>
          <w:lang w:val="uk-UA"/>
        </w:rPr>
        <w:t>Васильєва С. Д.</w:t>
      </w:r>
    </w:p>
    <w:p w:rsidR="00896287" w:rsidRPr="001914D8" w:rsidRDefault="00896287" w:rsidP="00896287">
      <w:pPr>
        <w:spacing w:line="360" w:lineRule="auto"/>
        <w:ind w:left="567"/>
        <w:jc w:val="right"/>
        <w:rPr>
          <w:rFonts w:ascii="Times New Roman" w:hAnsi="Times New Roman" w:cs="Times New Roman"/>
          <w:i/>
          <w:iCs/>
          <w:sz w:val="28"/>
          <w:szCs w:val="28"/>
          <w:lang w:val="uk-UA"/>
        </w:rPr>
      </w:pPr>
      <w:r w:rsidRPr="001914D8">
        <w:rPr>
          <w:rFonts w:ascii="Times New Roman" w:hAnsi="Times New Roman" w:cs="Times New Roman"/>
          <w:i/>
          <w:iCs/>
          <w:sz w:val="28"/>
          <w:szCs w:val="28"/>
          <w:lang w:val="uk-UA"/>
        </w:rPr>
        <w:t>Національний авіаційний університет</w:t>
      </w:r>
    </w:p>
    <w:p w:rsidR="00896287" w:rsidRPr="001914D8" w:rsidRDefault="00896287" w:rsidP="00896287">
      <w:pPr>
        <w:spacing w:line="360" w:lineRule="auto"/>
        <w:ind w:left="567"/>
        <w:jc w:val="right"/>
        <w:rPr>
          <w:rFonts w:ascii="Times New Roman" w:hAnsi="Times New Roman" w:cs="Times New Roman"/>
          <w:i/>
          <w:iCs/>
          <w:sz w:val="28"/>
          <w:szCs w:val="28"/>
          <w:lang w:val="uk-UA"/>
        </w:rPr>
      </w:pPr>
      <w:r w:rsidRPr="001914D8">
        <w:rPr>
          <w:rFonts w:ascii="Times New Roman" w:hAnsi="Times New Roman" w:cs="Times New Roman"/>
          <w:i/>
          <w:iCs/>
          <w:sz w:val="28"/>
          <w:szCs w:val="28"/>
          <w:lang w:val="uk-UA"/>
        </w:rPr>
        <w:t>здобувачка вищої освіти</w:t>
      </w:r>
    </w:p>
    <w:p w:rsidR="00896287" w:rsidRDefault="00896287" w:rsidP="00896287">
      <w:pPr>
        <w:pStyle w:val="a3"/>
        <w:spacing w:before="0" w:beforeAutospacing="0" w:after="0" w:afterAutospacing="0"/>
        <w:ind w:firstLine="709"/>
        <w:jc w:val="both"/>
        <w:rPr>
          <w:color w:val="000000"/>
          <w:sz w:val="28"/>
          <w:szCs w:val="28"/>
          <w:lang w:val="uk-UA"/>
        </w:rPr>
      </w:pPr>
    </w:p>
    <w:p w:rsidR="00896287" w:rsidRDefault="00896287" w:rsidP="00896287">
      <w:pPr>
        <w:pStyle w:val="a3"/>
        <w:spacing w:before="0" w:beforeAutospacing="0" w:after="0" w:afterAutospacing="0" w:line="276" w:lineRule="auto"/>
        <w:ind w:firstLine="709"/>
        <w:jc w:val="both"/>
        <w:rPr>
          <w:color w:val="000000"/>
          <w:sz w:val="28"/>
          <w:szCs w:val="28"/>
        </w:rPr>
      </w:pPr>
      <w:r w:rsidRPr="00896287">
        <w:rPr>
          <w:color w:val="000000"/>
          <w:sz w:val="28"/>
          <w:szCs w:val="28"/>
        </w:rPr>
        <w:t>Відновлення України після війни повинно базуватися на принципах сталого розвитку, зокрема з урахуванням зелених підходів, що є необхідними для її інтеграції до Європейського Союзу. Питання екологічної політики та кліматичних реформ посідають центральне місце на політичному порядку денному ЄС, і для України це означає необхідність швидкої та ефективної імплементації європейського законодавства (acquis ЄС) у сфері довкілля та клімату. Це не лише вимога для вступу до ЄС, але й основа для майбутнього розвитку країни.</w:t>
      </w:r>
    </w:p>
    <w:p w:rsidR="00896287" w:rsidRPr="00896287" w:rsidRDefault="00896287" w:rsidP="00896287">
      <w:pPr>
        <w:pStyle w:val="a3"/>
        <w:spacing w:before="0" w:beforeAutospacing="0" w:after="0" w:afterAutospacing="0" w:line="276" w:lineRule="auto"/>
        <w:ind w:firstLine="709"/>
        <w:jc w:val="both"/>
        <w:rPr>
          <w:color w:val="000000"/>
          <w:sz w:val="28"/>
          <w:szCs w:val="28"/>
        </w:rPr>
      </w:pPr>
      <w:r w:rsidRPr="00896287">
        <w:rPr>
          <w:color w:val="000000"/>
          <w:sz w:val="28"/>
          <w:szCs w:val="28"/>
        </w:rPr>
        <w:t>Європейська комісія рекомендує Україні інтегрувати питання екології та клімату в усі аспекти національної стратегії відновлення, що передбачає пріоритетну увагу до екологічних стандартів у ключових секторах економіки. Зелена відбудова надасть можливість створення нових робочих місць, особливо у зелених секторах, що сприятиме поверненню українців додому та забезпеченню їх гідною працею. Це важливо, адже під час відбудови ми маємо зосередитися на довгострокових економічних вигодах, а не на короткостроковій ресурсно-експортній моделі.</w:t>
      </w:r>
    </w:p>
    <w:p w:rsidR="00896287" w:rsidRPr="00896287" w:rsidRDefault="004671B6" w:rsidP="00896287">
      <w:pPr>
        <w:pStyle w:val="a3"/>
        <w:spacing w:before="0" w:beforeAutospacing="0" w:after="0" w:afterAutospacing="0" w:line="276" w:lineRule="auto"/>
        <w:ind w:firstLine="709"/>
        <w:jc w:val="both"/>
        <w:rPr>
          <w:color w:val="000000"/>
          <w:sz w:val="28"/>
          <w:szCs w:val="28"/>
        </w:rPr>
      </w:pPr>
      <w:r>
        <w:rPr>
          <w:color w:val="000000"/>
          <w:sz w:val="28"/>
          <w:szCs w:val="28"/>
          <w:lang w:val="uk-UA"/>
        </w:rPr>
        <w:t>Наразі в Україні існує</w:t>
      </w:r>
      <w:r w:rsidR="00896287" w:rsidRPr="00896287">
        <w:rPr>
          <w:color w:val="000000"/>
          <w:sz w:val="28"/>
          <w:szCs w:val="28"/>
        </w:rPr>
        <w:t xml:space="preserve"> необхідніст</w:t>
      </w:r>
      <w:r>
        <w:rPr>
          <w:color w:val="000000"/>
          <w:sz w:val="28"/>
          <w:szCs w:val="28"/>
          <w:lang w:val="uk-UA"/>
        </w:rPr>
        <w:t>ь</w:t>
      </w:r>
      <w:r w:rsidR="00896287" w:rsidRPr="00896287">
        <w:rPr>
          <w:color w:val="000000"/>
          <w:sz w:val="28"/>
          <w:szCs w:val="28"/>
        </w:rPr>
        <w:t xml:space="preserve"> суттєвих змін в екологічному управлінні. Зміни повинні торкнутися не лише впровадження екологічних норм, але й самої концепції відбудови України. Проєкт Закону України «Про засади відновлення України», розроблений урядом, потребує суттєвих доопрацювань для включення екологічної складової. На жаль, в поточній редакції відсутній комплексний підхід до інтеграції вимог сталого розвитку, що є суттєвою прогалиною, особливо в контексті адаптації до кліматичних змін.</w:t>
      </w:r>
    </w:p>
    <w:p w:rsidR="00896287" w:rsidRPr="00896287" w:rsidRDefault="00896287" w:rsidP="00896287">
      <w:pPr>
        <w:pStyle w:val="a3"/>
        <w:spacing w:before="0" w:beforeAutospacing="0" w:after="0" w:afterAutospacing="0" w:line="276" w:lineRule="auto"/>
        <w:ind w:firstLine="709"/>
        <w:jc w:val="both"/>
        <w:rPr>
          <w:color w:val="000000"/>
          <w:sz w:val="28"/>
          <w:szCs w:val="28"/>
        </w:rPr>
      </w:pPr>
      <w:r w:rsidRPr="00896287">
        <w:rPr>
          <w:color w:val="000000"/>
          <w:sz w:val="28"/>
          <w:szCs w:val="28"/>
        </w:rPr>
        <w:t>Зелена відбудова України має передбачати нові амбітні екологічні стандарти, які будуть інтегровані у всі галузі господарської діяльності. Основна увага повинна бути спрямована на відновлення та збереження природних ресурсів, таких як водні об’єкти, ліси та території природно-заповідного фонду. Це включає не лише відновлення зруйнованих екосистем, але й їхнє подальше збереження згідно з Європейським зеленим курсом. Також важливим є питання відновлення сільськогосподарських територій на основі стратегій сталого розвитку, зокрема у рамках концепції «Від ферми до виделки».</w:t>
      </w:r>
    </w:p>
    <w:p w:rsidR="00896287" w:rsidRPr="00896287" w:rsidRDefault="00896287" w:rsidP="00896287">
      <w:pPr>
        <w:pStyle w:val="a3"/>
        <w:spacing w:before="0" w:beforeAutospacing="0" w:after="0" w:afterAutospacing="0" w:line="276" w:lineRule="auto"/>
        <w:ind w:firstLine="709"/>
        <w:jc w:val="both"/>
        <w:rPr>
          <w:color w:val="000000"/>
          <w:sz w:val="28"/>
          <w:szCs w:val="28"/>
        </w:rPr>
      </w:pPr>
      <w:r w:rsidRPr="00896287">
        <w:rPr>
          <w:color w:val="000000"/>
          <w:sz w:val="28"/>
          <w:szCs w:val="28"/>
        </w:rPr>
        <w:lastRenderedPageBreak/>
        <w:t>Інвестиції у відбудову мають бути спрямовані на розвиток економіки з високою доданою вартістю та перехід до циклічної, безвідходної моделі економіки. Важливою складовою цього процесу є інноваційні підходи, що забезпечать не лише відновлення інфраструктури, а й її модернізацію, включаючи декарбонізацію та підвищення енергоефективності.</w:t>
      </w:r>
    </w:p>
    <w:p w:rsidR="00896287" w:rsidRPr="00896287" w:rsidRDefault="00896287" w:rsidP="00896287">
      <w:pPr>
        <w:pStyle w:val="a3"/>
        <w:spacing w:before="0" w:beforeAutospacing="0" w:after="0" w:afterAutospacing="0" w:line="276" w:lineRule="auto"/>
        <w:ind w:firstLine="709"/>
        <w:jc w:val="both"/>
        <w:rPr>
          <w:color w:val="000000"/>
          <w:sz w:val="28"/>
          <w:szCs w:val="28"/>
        </w:rPr>
      </w:pPr>
      <w:r w:rsidRPr="00896287">
        <w:rPr>
          <w:color w:val="000000"/>
          <w:sz w:val="28"/>
          <w:szCs w:val="28"/>
        </w:rPr>
        <w:t>Успіх зеленого відновлення залежить від наскрізного дотримання екологічних стандартів у всіх сферах життя. Принцип «відбудувати зеленіше, ніж було» має стати основою української стратегії. Це включає обов’язкове врахування питань декарбонізації, збереження біорізноманіття та адаптації до зміни клімату. Крім того, інтеграція принципів Нового європейського Баугаузу — сталість, естетика, спільнотворення — сприятиме не лише екологічній, але й соціально-економічній відбудові</w:t>
      </w:r>
      <w:r w:rsidR="004671B6">
        <w:rPr>
          <w:color w:val="000000"/>
          <w:sz w:val="28"/>
          <w:szCs w:val="28"/>
          <w:lang w:val="uk-UA"/>
        </w:rPr>
        <w:t xml:space="preserve"> </w:t>
      </w:r>
      <w:r w:rsidR="004671B6" w:rsidRPr="004671B6">
        <w:rPr>
          <w:color w:val="000000"/>
          <w:sz w:val="28"/>
          <w:szCs w:val="28"/>
        </w:rPr>
        <w:t>[1, c.30]</w:t>
      </w:r>
      <w:r w:rsidRPr="00896287">
        <w:rPr>
          <w:color w:val="000000"/>
          <w:sz w:val="28"/>
          <w:szCs w:val="28"/>
        </w:rPr>
        <w:t>.</w:t>
      </w:r>
    </w:p>
    <w:p w:rsidR="00896287" w:rsidRPr="00896287" w:rsidRDefault="00896287" w:rsidP="00896287">
      <w:pPr>
        <w:pStyle w:val="a3"/>
        <w:spacing w:before="0" w:beforeAutospacing="0" w:after="0" w:afterAutospacing="0" w:line="276" w:lineRule="auto"/>
        <w:ind w:firstLine="709"/>
        <w:jc w:val="both"/>
        <w:rPr>
          <w:color w:val="000000"/>
          <w:sz w:val="28"/>
          <w:szCs w:val="28"/>
        </w:rPr>
      </w:pPr>
      <w:r w:rsidRPr="00896287">
        <w:rPr>
          <w:color w:val="000000"/>
          <w:sz w:val="28"/>
          <w:szCs w:val="28"/>
        </w:rPr>
        <w:t>Не менш важливим є забезпечення прозорості та підзвітності у процесах прийняття рішень. Уряд повинен забезпечити ефективну участь громадськості на всіх етапах відбудови, а також забезпечити доступ до інформації про стан виконання екологічних та кліматичних зобов’язань.</w:t>
      </w:r>
    </w:p>
    <w:p w:rsidR="00896287" w:rsidRPr="00896287" w:rsidRDefault="00896287" w:rsidP="00896287">
      <w:pPr>
        <w:pStyle w:val="a3"/>
        <w:spacing w:before="0" w:beforeAutospacing="0" w:after="0" w:afterAutospacing="0" w:line="276" w:lineRule="auto"/>
        <w:ind w:firstLine="709"/>
        <w:jc w:val="both"/>
        <w:rPr>
          <w:color w:val="000000"/>
          <w:sz w:val="28"/>
          <w:szCs w:val="28"/>
        </w:rPr>
      </w:pPr>
      <w:r w:rsidRPr="00896287">
        <w:rPr>
          <w:color w:val="000000"/>
          <w:sz w:val="28"/>
          <w:szCs w:val="28"/>
        </w:rPr>
        <w:t>Відповідно, включення екологічних та кліматичних індикаторів до Плану України та моніторингу його виконання має стати невід’ємною частиною процесу. Це допоможе гарантувати фінансування проектів зеленого спрямування та контроль за впровадженням реформ. Стратегічною метою є декарбонізація, досягнення кліматичної нейтральності та підвищення енергоефективності у всіх секторах.</w:t>
      </w:r>
    </w:p>
    <w:p w:rsidR="00896287" w:rsidRPr="00896287" w:rsidRDefault="00896287" w:rsidP="00896287">
      <w:pPr>
        <w:pStyle w:val="a3"/>
        <w:spacing w:before="0" w:beforeAutospacing="0" w:after="0" w:afterAutospacing="0" w:line="276" w:lineRule="auto"/>
        <w:ind w:firstLine="709"/>
        <w:jc w:val="both"/>
        <w:rPr>
          <w:color w:val="000000"/>
          <w:sz w:val="28"/>
          <w:szCs w:val="28"/>
        </w:rPr>
      </w:pPr>
      <w:r w:rsidRPr="00896287">
        <w:rPr>
          <w:color w:val="000000"/>
          <w:sz w:val="28"/>
          <w:szCs w:val="28"/>
        </w:rPr>
        <w:t>Для наочності можна розглянути вплив екологічних реформ через таблицю</w:t>
      </w:r>
      <w:r w:rsidRPr="00896287">
        <w:rPr>
          <w:color w:val="000000"/>
          <w:sz w:val="28"/>
          <w:szCs w:val="28"/>
          <w:lang w:val="uk-UA"/>
        </w:rPr>
        <w:t xml:space="preserve"> 1</w:t>
      </w:r>
      <w:r w:rsidRPr="00896287">
        <w:rPr>
          <w:color w:val="000000"/>
          <w:sz w:val="28"/>
          <w:szCs w:val="28"/>
        </w:rPr>
        <w:t>, що показує основні принципи зеленого відновлення.</w:t>
      </w:r>
    </w:p>
    <w:p w:rsidR="00896287" w:rsidRDefault="00896287" w:rsidP="00896287">
      <w:pPr>
        <w:spacing w:line="276" w:lineRule="auto"/>
        <w:jc w:val="right"/>
        <w:rPr>
          <w:rFonts w:ascii="Times New Roman" w:hAnsi="Times New Roman" w:cs="Times New Roman"/>
          <w:sz w:val="28"/>
          <w:szCs w:val="28"/>
          <w:lang w:val="uk-UA"/>
        </w:rPr>
      </w:pPr>
      <w:r w:rsidRPr="00896287">
        <w:rPr>
          <w:rFonts w:ascii="Times New Roman" w:hAnsi="Times New Roman" w:cs="Times New Roman"/>
          <w:sz w:val="28"/>
          <w:szCs w:val="28"/>
          <w:lang w:val="uk-UA"/>
        </w:rPr>
        <w:t>Таблиця 1</w:t>
      </w:r>
    </w:p>
    <w:p w:rsidR="00896287" w:rsidRDefault="00896287" w:rsidP="0089628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Принципи зеленого відновлення України</w:t>
      </w:r>
    </w:p>
    <w:tbl>
      <w:tblPr>
        <w:tblStyle w:val="a5"/>
        <w:tblW w:w="0" w:type="auto"/>
        <w:tblLook w:val="04A0" w:firstRow="1" w:lastRow="0" w:firstColumn="1" w:lastColumn="0" w:noHBand="0" w:noVBand="1"/>
      </w:tblPr>
      <w:tblGrid>
        <w:gridCol w:w="3114"/>
        <w:gridCol w:w="5902"/>
      </w:tblGrid>
      <w:tr w:rsidR="00896287" w:rsidRPr="00896287" w:rsidTr="00896287">
        <w:tc>
          <w:tcPr>
            <w:tcW w:w="3114" w:type="dxa"/>
          </w:tcPr>
          <w:p w:rsidR="00896287" w:rsidRPr="00896287" w:rsidRDefault="00896287" w:rsidP="00896287">
            <w:pPr>
              <w:spacing w:line="276" w:lineRule="auto"/>
              <w:jc w:val="center"/>
              <w:rPr>
                <w:rFonts w:ascii="Times New Roman" w:hAnsi="Times New Roman" w:cs="Times New Roman"/>
                <w:lang w:val="uk-UA"/>
              </w:rPr>
            </w:pPr>
            <w:r w:rsidRPr="00896287">
              <w:rPr>
                <w:rFonts w:ascii="Times New Roman" w:hAnsi="Times New Roman" w:cs="Times New Roman"/>
                <w:lang w:val="uk-UA"/>
              </w:rPr>
              <w:t>Принципи</w:t>
            </w:r>
          </w:p>
        </w:tc>
        <w:tc>
          <w:tcPr>
            <w:tcW w:w="5902" w:type="dxa"/>
          </w:tcPr>
          <w:p w:rsidR="00896287" w:rsidRPr="00896287" w:rsidRDefault="00896287" w:rsidP="00896287">
            <w:pPr>
              <w:spacing w:line="276" w:lineRule="auto"/>
              <w:jc w:val="center"/>
              <w:rPr>
                <w:rFonts w:ascii="Times New Roman" w:hAnsi="Times New Roman" w:cs="Times New Roman"/>
                <w:lang w:val="uk-UA"/>
              </w:rPr>
            </w:pPr>
            <w:r w:rsidRPr="00896287">
              <w:rPr>
                <w:rFonts w:ascii="Times New Roman" w:hAnsi="Times New Roman" w:cs="Times New Roman"/>
                <w:lang w:val="uk-UA"/>
              </w:rPr>
              <w:t>Суть</w:t>
            </w:r>
          </w:p>
        </w:tc>
      </w:tr>
      <w:tr w:rsidR="00896287" w:rsidRPr="00896287" w:rsidTr="00896287">
        <w:tc>
          <w:tcPr>
            <w:tcW w:w="3114" w:type="dxa"/>
          </w:tcPr>
          <w:p w:rsidR="00896287" w:rsidRPr="00896287" w:rsidRDefault="00896287" w:rsidP="00896287">
            <w:pPr>
              <w:spacing w:line="276" w:lineRule="auto"/>
              <w:rPr>
                <w:rFonts w:ascii="Times New Roman" w:hAnsi="Times New Roman" w:cs="Times New Roman"/>
                <w:lang w:val="uk-UA"/>
              </w:rPr>
            </w:pPr>
            <w:r w:rsidRPr="00896287">
              <w:rPr>
                <w:rFonts w:ascii="Times New Roman" w:hAnsi="Times New Roman" w:cs="Times New Roman"/>
                <w:lang w:val="uk-UA"/>
              </w:rPr>
              <w:t>Сталий розвиток</w:t>
            </w:r>
          </w:p>
        </w:tc>
        <w:tc>
          <w:tcPr>
            <w:tcW w:w="5902" w:type="dxa"/>
          </w:tcPr>
          <w:p w:rsidR="00896287" w:rsidRPr="00896287" w:rsidRDefault="00896287" w:rsidP="00896287">
            <w:pPr>
              <w:spacing w:line="276" w:lineRule="auto"/>
              <w:rPr>
                <w:rFonts w:ascii="Times New Roman" w:hAnsi="Times New Roman" w:cs="Times New Roman"/>
              </w:rPr>
            </w:pPr>
            <w:r w:rsidRPr="00896287">
              <w:rPr>
                <w:rFonts w:ascii="Times New Roman" w:hAnsi="Times New Roman" w:cs="Times New Roman"/>
                <w:color w:val="000000"/>
              </w:rPr>
              <w:t>Взаємоузгодження екологічних, економічних та соціальних аспектів розвитку</w:t>
            </w:r>
          </w:p>
        </w:tc>
      </w:tr>
      <w:tr w:rsidR="00896287" w:rsidRPr="00896287" w:rsidTr="00896287">
        <w:tc>
          <w:tcPr>
            <w:tcW w:w="3114" w:type="dxa"/>
          </w:tcPr>
          <w:p w:rsidR="00896287" w:rsidRPr="00896287" w:rsidRDefault="00896287" w:rsidP="00896287">
            <w:pPr>
              <w:spacing w:line="276" w:lineRule="auto"/>
              <w:rPr>
                <w:rFonts w:ascii="Times New Roman" w:hAnsi="Times New Roman" w:cs="Times New Roman"/>
                <w:lang w:val="uk-UA"/>
              </w:rPr>
            </w:pPr>
            <w:r w:rsidRPr="00896287">
              <w:rPr>
                <w:rFonts w:ascii="Times New Roman" w:hAnsi="Times New Roman" w:cs="Times New Roman"/>
                <w:lang w:val="uk-UA"/>
              </w:rPr>
              <w:t>Декарбонізація</w:t>
            </w:r>
          </w:p>
        </w:tc>
        <w:tc>
          <w:tcPr>
            <w:tcW w:w="590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3"/>
            </w:tblGrid>
            <w:tr w:rsidR="00896287" w:rsidRPr="00896287" w:rsidTr="00896287">
              <w:trPr>
                <w:tblCellSpacing w:w="15" w:type="dxa"/>
              </w:trPr>
              <w:tc>
                <w:tcPr>
                  <w:tcW w:w="0" w:type="auto"/>
                  <w:vAlign w:val="center"/>
                  <w:hideMark/>
                </w:tcPr>
                <w:p w:rsidR="00896287" w:rsidRPr="00896287" w:rsidRDefault="00896287" w:rsidP="00896287">
                  <w:pPr>
                    <w:spacing w:line="276" w:lineRule="auto"/>
                    <w:rPr>
                      <w:rFonts w:ascii="Times New Roman" w:hAnsi="Times New Roman" w:cs="Times New Roman"/>
                      <w:color w:val="000000"/>
                    </w:rPr>
                  </w:pPr>
                  <w:r w:rsidRPr="00896287">
                    <w:rPr>
                      <w:rFonts w:ascii="Times New Roman" w:hAnsi="Times New Roman" w:cs="Times New Roman"/>
                      <w:color w:val="000000"/>
                    </w:rPr>
                    <w:t>Зменшення викидів парникових газів</w:t>
                  </w:r>
                </w:p>
              </w:tc>
            </w:tr>
          </w:tbl>
          <w:p w:rsidR="00896287" w:rsidRPr="00896287" w:rsidRDefault="00896287" w:rsidP="00896287">
            <w:pPr>
              <w:spacing w:line="276" w:lineRule="auto"/>
              <w:rPr>
                <w:rFonts w:ascii="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96287" w:rsidRPr="00896287" w:rsidTr="00896287">
              <w:trPr>
                <w:tblCellSpacing w:w="15" w:type="dxa"/>
              </w:trPr>
              <w:tc>
                <w:tcPr>
                  <w:tcW w:w="0" w:type="auto"/>
                  <w:vAlign w:val="center"/>
                  <w:hideMark/>
                </w:tcPr>
                <w:p w:rsidR="00896287" w:rsidRPr="00896287" w:rsidRDefault="00896287" w:rsidP="00896287">
                  <w:pPr>
                    <w:spacing w:line="276" w:lineRule="auto"/>
                    <w:rPr>
                      <w:rFonts w:ascii="Times New Roman" w:hAnsi="Times New Roman" w:cs="Times New Roman"/>
                    </w:rPr>
                  </w:pPr>
                </w:p>
              </w:tc>
            </w:tr>
          </w:tbl>
          <w:p w:rsidR="00896287" w:rsidRPr="00896287" w:rsidRDefault="00896287" w:rsidP="00896287">
            <w:pPr>
              <w:spacing w:line="276" w:lineRule="auto"/>
              <w:rPr>
                <w:rFonts w:ascii="Times New Roman" w:hAnsi="Times New Roman" w:cs="Times New Roman"/>
              </w:rPr>
            </w:pPr>
          </w:p>
        </w:tc>
      </w:tr>
      <w:tr w:rsidR="00896287" w:rsidRPr="00896287" w:rsidTr="00896287">
        <w:tc>
          <w:tcPr>
            <w:tcW w:w="3114" w:type="dxa"/>
          </w:tcPr>
          <w:p w:rsidR="00896287" w:rsidRPr="00896287" w:rsidRDefault="00896287" w:rsidP="00896287">
            <w:pPr>
              <w:spacing w:line="276" w:lineRule="auto"/>
              <w:rPr>
                <w:rFonts w:ascii="Times New Roman" w:hAnsi="Times New Roman" w:cs="Times New Roman"/>
                <w:lang w:val="uk-UA"/>
              </w:rPr>
            </w:pPr>
            <w:r w:rsidRPr="00896287">
              <w:rPr>
                <w:rFonts w:ascii="Times New Roman" w:hAnsi="Times New Roman" w:cs="Times New Roman"/>
                <w:lang w:val="uk-UA"/>
              </w:rPr>
              <w:t>Енергоефективність</w:t>
            </w:r>
          </w:p>
        </w:tc>
        <w:tc>
          <w:tcPr>
            <w:tcW w:w="590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86"/>
            </w:tblGrid>
            <w:tr w:rsidR="00896287" w:rsidRPr="00896287" w:rsidTr="00896287">
              <w:trPr>
                <w:tblCellSpacing w:w="15" w:type="dxa"/>
              </w:trPr>
              <w:tc>
                <w:tcPr>
                  <w:tcW w:w="0" w:type="auto"/>
                  <w:vAlign w:val="center"/>
                  <w:hideMark/>
                </w:tcPr>
                <w:p w:rsidR="00896287" w:rsidRPr="00896287" w:rsidRDefault="00896287" w:rsidP="00896287">
                  <w:pPr>
                    <w:spacing w:line="276" w:lineRule="auto"/>
                    <w:rPr>
                      <w:rFonts w:ascii="Times New Roman" w:hAnsi="Times New Roman" w:cs="Times New Roman"/>
                      <w:color w:val="000000"/>
                    </w:rPr>
                  </w:pPr>
                  <w:r w:rsidRPr="00896287">
                    <w:rPr>
                      <w:rFonts w:ascii="Times New Roman" w:hAnsi="Times New Roman" w:cs="Times New Roman"/>
                      <w:color w:val="000000"/>
                    </w:rPr>
                    <w:t>Оптимізація використання енергії для підвищення продуктивності</w:t>
                  </w:r>
                </w:p>
              </w:tc>
            </w:tr>
          </w:tbl>
          <w:p w:rsidR="00896287" w:rsidRPr="00896287" w:rsidRDefault="00896287" w:rsidP="00896287">
            <w:pPr>
              <w:spacing w:line="276" w:lineRule="auto"/>
              <w:rPr>
                <w:rFonts w:ascii="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96287" w:rsidRPr="00896287" w:rsidTr="00896287">
              <w:trPr>
                <w:tblCellSpacing w:w="15" w:type="dxa"/>
              </w:trPr>
              <w:tc>
                <w:tcPr>
                  <w:tcW w:w="0" w:type="auto"/>
                  <w:vAlign w:val="center"/>
                  <w:hideMark/>
                </w:tcPr>
                <w:p w:rsidR="00896287" w:rsidRPr="00896287" w:rsidRDefault="00896287" w:rsidP="00896287">
                  <w:pPr>
                    <w:spacing w:line="276" w:lineRule="auto"/>
                    <w:rPr>
                      <w:rFonts w:ascii="Times New Roman" w:hAnsi="Times New Roman" w:cs="Times New Roman"/>
                    </w:rPr>
                  </w:pPr>
                </w:p>
              </w:tc>
            </w:tr>
          </w:tbl>
          <w:p w:rsidR="00896287" w:rsidRPr="00896287" w:rsidRDefault="00896287" w:rsidP="00896287">
            <w:pPr>
              <w:spacing w:line="276" w:lineRule="auto"/>
              <w:rPr>
                <w:rFonts w:ascii="Times New Roman" w:hAnsi="Times New Roman" w:cs="Times New Roman"/>
              </w:rPr>
            </w:pPr>
          </w:p>
        </w:tc>
      </w:tr>
      <w:tr w:rsidR="00896287" w:rsidRPr="00896287" w:rsidTr="00896287">
        <w:tc>
          <w:tcPr>
            <w:tcW w:w="3114" w:type="dxa"/>
          </w:tcPr>
          <w:p w:rsidR="00896287" w:rsidRPr="00896287" w:rsidRDefault="00896287" w:rsidP="00896287">
            <w:pPr>
              <w:spacing w:line="276" w:lineRule="auto"/>
              <w:rPr>
                <w:rFonts w:ascii="Times New Roman" w:hAnsi="Times New Roman" w:cs="Times New Roman"/>
                <w:lang w:val="uk-UA"/>
              </w:rPr>
            </w:pPr>
            <w:r w:rsidRPr="00896287">
              <w:rPr>
                <w:rFonts w:ascii="Times New Roman" w:hAnsi="Times New Roman" w:cs="Times New Roman"/>
                <w:lang w:val="uk-UA"/>
              </w:rPr>
              <w:t>Біорізноманіття та збереження ресурсів</w:t>
            </w:r>
          </w:p>
        </w:tc>
        <w:tc>
          <w:tcPr>
            <w:tcW w:w="590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86"/>
            </w:tblGrid>
            <w:tr w:rsidR="00896287" w:rsidRPr="00896287" w:rsidTr="00896287">
              <w:trPr>
                <w:tblCellSpacing w:w="15" w:type="dxa"/>
              </w:trPr>
              <w:tc>
                <w:tcPr>
                  <w:tcW w:w="0" w:type="auto"/>
                  <w:vAlign w:val="center"/>
                  <w:hideMark/>
                </w:tcPr>
                <w:p w:rsidR="00896287" w:rsidRPr="00896287" w:rsidRDefault="00896287" w:rsidP="00896287">
                  <w:pPr>
                    <w:spacing w:line="276" w:lineRule="auto"/>
                    <w:rPr>
                      <w:rFonts w:ascii="Times New Roman" w:hAnsi="Times New Roman" w:cs="Times New Roman"/>
                      <w:color w:val="000000"/>
                    </w:rPr>
                  </w:pPr>
                  <w:r w:rsidRPr="00896287">
                    <w:rPr>
                      <w:rFonts w:ascii="Times New Roman" w:hAnsi="Times New Roman" w:cs="Times New Roman"/>
                      <w:color w:val="000000"/>
                    </w:rPr>
                    <w:t>Збереження природних екосистем та відновлення природних ресурсів</w:t>
                  </w:r>
                </w:p>
              </w:tc>
            </w:tr>
          </w:tbl>
          <w:p w:rsidR="00896287" w:rsidRPr="00896287" w:rsidRDefault="00896287" w:rsidP="00896287">
            <w:pPr>
              <w:spacing w:line="276" w:lineRule="auto"/>
              <w:rPr>
                <w:rFonts w:ascii="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96287" w:rsidRPr="00896287" w:rsidTr="00896287">
              <w:trPr>
                <w:tblCellSpacing w:w="15" w:type="dxa"/>
              </w:trPr>
              <w:tc>
                <w:tcPr>
                  <w:tcW w:w="0" w:type="auto"/>
                  <w:vAlign w:val="center"/>
                  <w:hideMark/>
                </w:tcPr>
                <w:p w:rsidR="00896287" w:rsidRPr="00896287" w:rsidRDefault="00896287" w:rsidP="00896287">
                  <w:pPr>
                    <w:spacing w:line="276" w:lineRule="auto"/>
                    <w:rPr>
                      <w:rFonts w:ascii="Times New Roman" w:hAnsi="Times New Roman" w:cs="Times New Roman"/>
                    </w:rPr>
                  </w:pPr>
                </w:p>
              </w:tc>
            </w:tr>
          </w:tbl>
          <w:p w:rsidR="00896287" w:rsidRPr="00896287" w:rsidRDefault="00896287" w:rsidP="00896287">
            <w:pPr>
              <w:spacing w:line="276" w:lineRule="auto"/>
              <w:rPr>
                <w:rFonts w:ascii="Times New Roman" w:hAnsi="Times New Roman" w:cs="Times New Roman"/>
              </w:rPr>
            </w:pPr>
          </w:p>
        </w:tc>
      </w:tr>
      <w:tr w:rsidR="00896287" w:rsidRPr="00896287" w:rsidTr="00896287">
        <w:tc>
          <w:tcPr>
            <w:tcW w:w="3114" w:type="dxa"/>
          </w:tcPr>
          <w:p w:rsidR="00896287" w:rsidRPr="00896287" w:rsidRDefault="00896287" w:rsidP="00896287">
            <w:pPr>
              <w:spacing w:line="276" w:lineRule="auto"/>
              <w:rPr>
                <w:rFonts w:ascii="Times New Roman" w:hAnsi="Times New Roman" w:cs="Times New Roman"/>
                <w:lang w:val="uk-UA"/>
              </w:rPr>
            </w:pPr>
            <w:r w:rsidRPr="00896287">
              <w:rPr>
                <w:rFonts w:ascii="Times New Roman" w:hAnsi="Times New Roman" w:cs="Times New Roman"/>
                <w:lang w:val="uk-UA"/>
              </w:rPr>
              <w:t>Європейська інтеграція</w:t>
            </w:r>
          </w:p>
        </w:tc>
        <w:tc>
          <w:tcPr>
            <w:tcW w:w="5902" w:type="dxa"/>
          </w:tcPr>
          <w:p w:rsidR="00896287" w:rsidRPr="00896287" w:rsidRDefault="00896287" w:rsidP="00896287">
            <w:pPr>
              <w:spacing w:line="276" w:lineRule="auto"/>
              <w:rPr>
                <w:rFonts w:ascii="Times New Roman" w:hAnsi="Times New Roman" w:cs="Times New Roman"/>
                <w:color w:val="000000"/>
              </w:rPr>
            </w:pPr>
            <w:r w:rsidRPr="00896287">
              <w:rPr>
                <w:rFonts w:ascii="Times New Roman" w:hAnsi="Times New Roman" w:cs="Times New Roman"/>
                <w:color w:val="000000"/>
              </w:rPr>
              <w:t>Адаптація українського законодавства до acquis ЄС та виконання євроінтеграційних зобов’язань</w:t>
            </w:r>
          </w:p>
        </w:tc>
      </w:tr>
    </w:tbl>
    <w:p w:rsidR="00896287" w:rsidRDefault="004671B6" w:rsidP="00896287">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Розробка автора</w:t>
      </w:r>
    </w:p>
    <w:p w:rsidR="004671B6" w:rsidRPr="004671B6" w:rsidRDefault="004671B6" w:rsidP="00896287">
      <w:pPr>
        <w:spacing w:line="276" w:lineRule="auto"/>
        <w:rPr>
          <w:rFonts w:ascii="Times New Roman" w:hAnsi="Times New Roman" w:cs="Times New Roman"/>
          <w:sz w:val="28"/>
          <w:szCs w:val="28"/>
          <w:lang w:val="uk-UA"/>
        </w:rPr>
      </w:pPr>
    </w:p>
    <w:p w:rsidR="00896287" w:rsidRDefault="00896287" w:rsidP="00896287">
      <w:pPr>
        <w:spacing w:line="276" w:lineRule="auto"/>
        <w:ind w:firstLine="708"/>
        <w:jc w:val="both"/>
        <w:rPr>
          <w:rFonts w:ascii="Times New Roman" w:hAnsi="Times New Roman" w:cs="Times New Roman"/>
          <w:color w:val="000000"/>
          <w:sz w:val="28"/>
          <w:szCs w:val="28"/>
        </w:rPr>
      </w:pPr>
      <w:r w:rsidRPr="00896287">
        <w:rPr>
          <w:rFonts w:ascii="Times New Roman" w:hAnsi="Times New Roman" w:cs="Times New Roman"/>
          <w:color w:val="000000"/>
          <w:sz w:val="28"/>
          <w:szCs w:val="28"/>
        </w:rPr>
        <w:lastRenderedPageBreak/>
        <w:t>Отже, зелена відбудова є стратегічним пріоритетом України на шляху до сталого розвитку та євроінтеграції. Успішне впровадження екологічних реформ не тільки дозволить вирішити нагальні питання відбудови, але й сприятиме побудові екологічно сталого та економічно сильного суспільства.</w:t>
      </w:r>
    </w:p>
    <w:p w:rsidR="00896287" w:rsidRDefault="00896287" w:rsidP="00896287">
      <w:pPr>
        <w:spacing w:line="276" w:lineRule="auto"/>
        <w:ind w:firstLine="708"/>
        <w:jc w:val="both"/>
        <w:rPr>
          <w:rFonts w:ascii="Times New Roman" w:hAnsi="Times New Roman" w:cs="Times New Roman"/>
          <w:color w:val="000000"/>
          <w:sz w:val="28"/>
          <w:szCs w:val="28"/>
        </w:rPr>
      </w:pPr>
    </w:p>
    <w:p w:rsidR="00896287" w:rsidRDefault="00896287" w:rsidP="004671B6">
      <w:pPr>
        <w:ind w:firstLine="708"/>
        <w:jc w:val="center"/>
        <w:rPr>
          <w:rFonts w:ascii="Times New Roman" w:hAnsi="Times New Roman" w:cs="Times New Roman"/>
          <w:b/>
          <w:bCs/>
          <w:sz w:val="28"/>
          <w:szCs w:val="28"/>
          <w:lang w:val="uk-UA"/>
        </w:rPr>
      </w:pPr>
      <w:r w:rsidRPr="00896287">
        <w:rPr>
          <w:rFonts w:ascii="Times New Roman" w:hAnsi="Times New Roman" w:cs="Times New Roman"/>
          <w:b/>
          <w:bCs/>
          <w:sz w:val="28"/>
          <w:szCs w:val="28"/>
          <w:lang w:val="uk-UA"/>
        </w:rPr>
        <w:t>Список використаних джерел</w:t>
      </w:r>
    </w:p>
    <w:p w:rsidR="00896287" w:rsidRPr="00896287" w:rsidRDefault="00896287" w:rsidP="004671B6">
      <w:pPr>
        <w:pStyle w:val="a3"/>
        <w:numPr>
          <w:ilvl w:val="0"/>
          <w:numId w:val="1"/>
        </w:numPr>
        <w:spacing w:before="0" w:beforeAutospacing="0" w:after="0" w:afterAutospacing="0"/>
        <w:jc w:val="both"/>
        <w:rPr>
          <w:sz w:val="28"/>
          <w:szCs w:val="28"/>
        </w:rPr>
      </w:pPr>
      <w:r w:rsidRPr="00896287">
        <w:rPr>
          <w:rFonts w:ascii="TimesNewRomanPSMT" w:hAnsi="TimesNewRomanPSMT"/>
          <w:sz w:val="28"/>
          <w:szCs w:val="28"/>
        </w:rPr>
        <w:t>«Зелене» повоєнне відновлення України: візія та моделі. Аналітична записка. Київ: ГО «Ресурсно-аналітичний центр «Суспільство і довкілля»,</w:t>
      </w:r>
      <w:r w:rsidRPr="004671B6">
        <w:rPr>
          <w:rFonts w:ascii="TimesNewRomanPSMT" w:hAnsi="TimesNewRomanPSMT"/>
          <w:sz w:val="28"/>
          <w:szCs w:val="28"/>
          <w:lang w:val="ru-RU"/>
        </w:rPr>
        <w:t xml:space="preserve"> </w:t>
      </w:r>
      <w:r w:rsidRPr="00896287">
        <w:rPr>
          <w:rFonts w:ascii="TimesNewRomanPSMT" w:hAnsi="TimesNewRomanPSMT"/>
          <w:sz w:val="28"/>
          <w:szCs w:val="28"/>
        </w:rPr>
        <w:t>2022. 3</w:t>
      </w:r>
      <w:r w:rsidR="004671B6">
        <w:rPr>
          <w:rFonts w:ascii="TimesNewRomanPSMT" w:hAnsi="TimesNewRomanPSMT"/>
          <w:sz w:val="28"/>
          <w:szCs w:val="28"/>
          <w:lang w:val="uk-UA"/>
        </w:rPr>
        <w:t>2</w:t>
      </w:r>
      <w:r w:rsidRPr="00896287">
        <w:rPr>
          <w:rFonts w:ascii="TimesNewRomanPSMT" w:hAnsi="TimesNewRomanPSMT"/>
          <w:sz w:val="28"/>
          <w:szCs w:val="28"/>
        </w:rPr>
        <w:t xml:space="preserve"> с. </w:t>
      </w:r>
    </w:p>
    <w:p w:rsidR="00896287" w:rsidRPr="00896287" w:rsidRDefault="00896287" w:rsidP="00896287">
      <w:pPr>
        <w:pStyle w:val="a3"/>
        <w:numPr>
          <w:ilvl w:val="0"/>
          <w:numId w:val="1"/>
        </w:numPr>
        <w:rPr>
          <w:sz w:val="28"/>
          <w:szCs w:val="28"/>
        </w:rPr>
      </w:pPr>
      <w:r w:rsidRPr="00896287">
        <w:rPr>
          <w:rFonts w:ascii="TimesNewRomanPSMT" w:hAnsi="TimesNewRomanPSMT"/>
          <w:sz w:val="28"/>
          <w:szCs w:val="28"/>
        </w:rPr>
        <w:t xml:space="preserve">Відновлення України: Офіційний сайт. URL: </w:t>
      </w:r>
      <w:hyperlink r:id="rId5" w:history="1">
        <w:r w:rsidRPr="00896287">
          <w:rPr>
            <w:rStyle w:val="a6"/>
            <w:rFonts w:ascii="TimesNewRomanPSMT" w:hAnsi="TimesNewRomanPSMT"/>
            <w:sz w:val="28"/>
            <w:szCs w:val="28"/>
          </w:rPr>
          <w:t>https://recovery.gov.ua</w:t>
        </w:r>
      </w:hyperlink>
      <w:r w:rsidRPr="00896287">
        <w:rPr>
          <w:rFonts w:ascii="TimesNewRomanPSMT" w:hAnsi="TimesNewRomanPSMT"/>
          <w:sz w:val="28"/>
          <w:szCs w:val="28"/>
        </w:rPr>
        <w:t xml:space="preserve"> (дата звернення </w:t>
      </w:r>
      <w:r w:rsidRPr="00896287">
        <w:rPr>
          <w:sz w:val="28"/>
          <w:szCs w:val="28"/>
        </w:rPr>
        <w:t xml:space="preserve"> </w:t>
      </w:r>
      <w:r w:rsidRPr="00896287">
        <w:rPr>
          <w:rFonts w:ascii="TimesNewRomanPSMT" w:hAnsi="TimesNewRomanPSMT"/>
          <w:sz w:val="28"/>
          <w:szCs w:val="28"/>
        </w:rPr>
        <w:t>04.08.2023).</w:t>
      </w:r>
    </w:p>
    <w:p w:rsidR="00896287" w:rsidRPr="00896287" w:rsidRDefault="00896287" w:rsidP="00896287">
      <w:pPr>
        <w:pStyle w:val="a3"/>
        <w:numPr>
          <w:ilvl w:val="0"/>
          <w:numId w:val="1"/>
        </w:numPr>
        <w:spacing w:before="0" w:beforeAutospacing="0" w:after="0" w:afterAutospacing="0" w:line="276" w:lineRule="auto"/>
        <w:jc w:val="both"/>
        <w:rPr>
          <w:sz w:val="28"/>
          <w:szCs w:val="28"/>
        </w:rPr>
      </w:pPr>
      <w:r w:rsidRPr="00896287">
        <w:rPr>
          <w:rFonts w:ascii="TimesNewRomanPSMT" w:hAnsi="TimesNewRomanPSMT"/>
          <w:sz w:val="28"/>
          <w:szCs w:val="28"/>
        </w:rPr>
        <w:t xml:space="preserve">Україна та Європейський зелений курс: Квартальний огляд. No3 (липень-вересень 2022 р.). </w:t>
      </w:r>
    </w:p>
    <w:p w:rsidR="00896287" w:rsidRPr="00896287" w:rsidRDefault="00000000" w:rsidP="00896287">
      <w:pPr>
        <w:pStyle w:val="a3"/>
        <w:spacing w:before="0" w:beforeAutospacing="0" w:after="0" w:afterAutospacing="0" w:line="276" w:lineRule="auto"/>
        <w:ind w:left="720"/>
        <w:jc w:val="both"/>
        <w:rPr>
          <w:sz w:val="28"/>
          <w:szCs w:val="28"/>
        </w:rPr>
      </w:pPr>
      <w:hyperlink r:id="rId6" w:history="1">
        <w:r w:rsidR="00896287" w:rsidRPr="00C9701D">
          <w:rPr>
            <w:rStyle w:val="a6"/>
            <w:rFonts w:ascii="TimesNewRomanPSMT" w:hAnsi="TimesNewRomanPSMT"/>
            <w:sz w:val="28"/>
            <w:szCs w:val="28"/>
          </w:rPr>
          <w:t>URL:https://dixigroup.org/analytic/ukra%D1%97na-ta</w:t>
        </w:r>
      </w:hyperlink>
      <w:r w:rsidR="00896287">
        <w:rPr>
          <w:rFonts w:ascii="TimesNewRomanPSMT" w:hAnsi="TimesNewRomanPSMT"/>
          <w:sz w:val="28"/>
          <w:szCs w:val="28"/>
          <w:lang w:val="uk-UA"/>
        </w:rPr>
        <w:t xml:space="preserve"> </w:t>
      </w:r>
    </w:p>
    <w:p w:rsidR="00896287" w:rsidRPr="00896287" w:rsidRDefault="00896287" w:rsidP="00896287">
      <w:pPr>
        <w:rPr>
          <w:rFonts w:ascii="Times New Roman" w:hAnsi="Times New Roman" w:cs="Times New Roman"/>
          <w:sz w:val="28"/>
          <w:szCs w:val="28"/>
        </w:rPr>
      </w:pPr>
    </w:p>
    <w:sectPr w:rsidR="00896287" w:rsidRPr="00896287" w:rsidSect="008962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A9F"/>
    <w:multiLevelType w:val="multilevel"/>
    <w:tmpl w:val="49CA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B24C6"/>
    <w:multiLevelType w:val="multilevel"/>
    <w:tmpl w:val="D582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4298758">
    <w:abstractNumId w:val="1"/>
  </w:num>
  <w:num w:numId="2" w16cid:durableId="202971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87"/>
    <w:rsid w:val="004671B6"/>
    <w:rsid w:val="0089628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96750AE"/>
  <w15:chartTrackingRefBased/>
  <w15:docId w15:val="{6F60E12E-05CC-0644-A7CE-4C67DB43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6287"/>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896287"/>
    <w:rPr>
      <w:b/>
      <w:bCs/>
    </w:rPr>
  </w:style>
  <w:style w:type="table" w:styleId="a5">
    <w:name w:val="Table Grid"/>
    <w:basedOn w:val="a1"/>
    <w:uiPriority w:val="39"/>
    <w:rsid w:val="0089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96287"/>
    <w:rPr>
      <w:color w:val="0563C1" w:themeColor="hyperlink"/>
      <w:u w:val="single"/>
    </w:rPr>
  </w:style>
  <w:style w:type="character" w:styleId="a7">
    <w:name w:val="Unresolved Mention"/>
    <w:basedOn w:val="a0"/>
    <w:uiPriority w:val="99"/>
    <w:semiHidden/>
    <w:unhideWhenUsed/>
    <w:rsid w:val="00896287"/>
    <w:rPr>
      <w:color w:val="605E5C"/>
      <w:shd w:val="clear" w:color="auto" w:fill="E1DFDD"/>
    </w:rPr>
  </w:style>
  <w:style w:type="character" w:styleId="a8">
    <w:name w:val="FollowedHyperlink"/>
    <w:basedOn w:val="a0"/>
    <w:uiPriority w:val="99"/>
    <w:semiHidden/>
    <w:unhideWhenUsed/>
    <w:rsid w:val="008962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7299">
      <w:bodyDiv w:val="1"/>
      <w:marLeft w:val="0"/>
      <w:marRight w:val="0"/>
      <w:marTop w:val="0"/>
      <w:marBottom w:val="0"/>
      <w:divBdr>
        <w:top w:val="none" w:sz="0" w:space="0" w:color="auto"/>
        <w:left w:val="none" w:sz="0" w:space="0" w:color="auto"/>
        <w:bottom w:val="none" w:sz="0" w:space="0" w:color="auto"/>
        <w:right w:val="none" w:sz="0" w:space="0" w:color="auto"/>
      </w:divBdr>
    </w:div>
    <w:div w:id="342368177">
      <w:bodyDiv w:val="1"/>
      <w:marLeft w:val="0"/>
      <w:marRight w:val="0"/>
      <w:marTop w:val="0"/>
      <w:marBottom w:val="0"/>
      <w:divBdr>
        <w:top w:val="none" w:sz="0" w:space="0" w:color="auto"/>
        <w:left w:val="none" w:sz="0" w:space="0" w:color="auto"/>
        <w:bottom w:val="none" w:sz="0" w:space="0" w:color="auto"/>
        <w:right w:val="none" w:sz="0" w:space="0" w:color="auto"/>
      </w:divBdr>
      <w:divsChild>
        <w:div w:id="578715440">
          <w:marLeft w:val="0"/>
          <w:marRight w:val="0"/>
          <w:marTop w:val="0"/>
          <w:marBottom w:val="0"/>
          <w:divBdr>
            <w:top w:val="none" w:sz="0" w:space="0" w:color="auto"/>
            <w:left w:val="none" w:sz="0" w:space="0" w:color="auto"/>
            <w:bottom w:val="none" w:sz="0" w:space="0" w:color="auto"/>
            <w:right w:val="none" w:sz="0" w:space="0" w:color="auto"/>
          </w:divBdr>
          <w:divsChild>
            <w:div w:id="1957175943">
              <w:marLeft w:val="0"/>
              <w:marRight w:val="0"/>
              <w:marTop w:val="0"/>
              <w:marBottom w:val="0"/>
              <w:divBdr>
                <w:top w:val="none" w:sz="0" w:space="0" w:color="auto"/>
                <w:left w:val="none" w:sz="0" w:space="0" w:color="auto"/>
                <w:bottom w:val="none" w:sz="0" w:space="0" w:color="auto"/>
                <w:right w:val="none" w:sz="0" w:space="0" w:color="auto"/>
              </w:divBdr>
              <w:divsChild>
                <w:div w:id="250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2379">
      <w:bodyDiv w:val="1"/>
      <w:marLeft w:val="0"/>
      <w:marRight w:val="0"/>
      <w:marTop w:val="0"/>
      <w:marBottom w:val="0"/>
      <w:divBdr>
        <w:top w:val="none" w:sz="0" w:space="0" w:color="auto"/>
        <w:left w:val="none" w:sz="0" w:space="0" w:color="auto"/>
        <w:bottom w:val="none" w:sz="0" w:space="0" w:color="auto"/>
        <w:right w:val="none" w:sz="0" w:space="0" w:color="auto"/>
      </w:divBdr>
    </w:div>
    <w:div w:id="1033311949">
      <w:bodyDiv w:val="1"/>
      <w:marLeft w:val="0"/>
      <w:marRight w:val="0"/>
      <w:marTop w:val="0"/>
      <w:marBottom w:val="0"/>
      <w:divBdr>
        <w:top w:val="none" w:sz="0" w:space="0" w:color="auto"/>
        <w:left w:val="none" w:sz="0" w:space="0" w:color="auto"/>
        <w:bottom w:val="none" w:sz="0" w:space="0" w:color="auto"/>
        <w:right w:val="none" w:sz="0" w:space="0" w:color="auto"/>
      </w:divBdr>
      <w:divsChild>
        <w:div w:id="1562209119">
          <w:marLeft w:val="0"/>
          <w:marRight w:val="0"/>
          <w:marTop w:val="0"/>
          <w:marBottom w:val="0"/>
          <w:divBdr>
            <w:top w:val="none" w:sz="0" w:space="0" w:color="auto"/>
            <w:left w:val="none" w:sz="0" w:space="0" w:color="auto"/>
            <w:bottom w:val="none" w:sz="0" w:space="0" w:color="auto"/>
            <w:right w:val="none" w:sz="0" w:space="0" w:color="auto"/>
          </w:divBdr>
          <w:divsChild>
            <w:div w:id="656232563">
              <w:marLeft w:val="0"/>
              <w:marRight w:val="0"/>
              <w:marTop w:val="0"/>
              <w:marBottom w:val="0"/>
              <w:divBdr>
                <w:top w:val="none" w:sz="0" w:space="0" w:color="auto"/>
                <w:left w:val="none" w:sz="0" w:space="0" w:color="auto"/>
                <w:bottom w:val="none" w:sz="0" w:space="0" w:color="auto"/>
                <w:right w:val="none" w:sz="0" w:space="0" w:color="auto"/>
              </w:divBdr>
              <w:divsChild>
                <w:div w:id="6078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74521">
      <w:bodyDiv w:val="1"/>
      <w:marLeft w:val="0"/>
      <w:marRight w:val="0"/>
      <w:marTop w:val="0"/>
      <w:marBottom w:val="0"/>
      <w:divBdr>
        <w:top w:val="none" w:sz="0" w:space="0" w:color="auto"/>
        <w:left w:val="none" w:sz="0" w:space="0" w:color="auto"/>
        <w:bottom w:val="none" w:sz="0" w:space="0" w:color="auto"/>
        <w:right w:val="none" w:sz="0" w:space="0" w:color="auto"/>
      </w:divBdr>
      <w:divsChild>
        <w:div w:id="747270701">
          <w:marLeft w:val="0"/>
          <w:marRight w:val="0"/>
          <w:marTop w:val="0"/>
          <w:marBottom w:val="0"/>
          <w:divBdr>
            <w:top w:val="none" w:sz="0" w:space="0" w:color="auto"/>
            <w:left w:val="none" w:sz="0" w:space="0" w:color="auto"/>
            <w:bottom w:val="none" w:sz="0" w:space="0" w:color="auto"/>
            <w:right w:val="none" w:sz="0" w:space="0" w:color="auto"/>
          </w:divBdr>
          <w:divsChild>
            <w:div w:id="1412119487">
              <w:marLeft w:val="0"/>
              <w:marRight w:val="0"/>
              <w:marTop w:val="0"/>
              <w:marBottom w:val="0"/>
              <w:divBdr>
                <w:top w:val="none" w:sz="0" w:space="0" w:color="auto"/>
                <w:left w:val="none" w:sz="0" w:space="0" w:color="auto"/>
                <w:bottom w:val="none" w:sz="0" w:space="0" w:color="auto"/>
                <w:right w:val="none" w:sz="0" w:space="0" w:color="auto"/>
              </w:divBdr>
              <w:divsChild>
                <w:div w:id="2415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6473">
      <w:bodyDiv w:val="1"/>
      <w:marLeft w:val="0"/>
      <w:marRight w:val="0"/>
      <w:marTop w:val="0"/>
      <w:marBottom w:val="0"/>
      <w:divBdr>
        <w:top w:val="none" w:sz="0" w:space="0" w:color="auto"/>
        <w:left w:val="none" w:sz="0" w:space="0" w:color="auto"/>
        <w:bottom w:val="none" w:sz="0" w:space="0" w:color="auto"/>
        <w:right w:val="none" w:sz="0" w:space="0" w:color="auto"/>
      </w:divBdr>
      <w:divsChild>
        <w:div w:id="384136643">
          <w:marLeft w:val="0"/>
          <w:marRight w:val="0"/>
          <w:marTop w:val="0"/>
          <w:marBottom w:val="0"/>
          <w:divBdr>
            <w:top w:val="none" w:sz="0" w:space="0" w:color="auto"/>
            <w:left w:val="none" w:sz="0" w:space="0" w:color="auto"/>
            <w:bottom w:val="none" w:sz="0" w:space="0" w:color="auto"/>
            <w:right w:val="none" w:sz="0" w:space="0" w:color="auto"/>
          </w:divBdr>
          <w:divsChild>
            <w:div w:id="24646755">
              <w:marLeft w:val="0"/>
              <w:marRight w:val="0"/>
              <w:marTop w:val="0"/>
              <w:marBottom w:val="0"/>
              <w:divBdr>
                <w:top w:val="none" w:sz="0" w:space="0" w:color="auto"/>
                <w:left w:val="none" w:sz="0" w:space="0" w:color="auto"/>
                <w:bottom w:val="none" w:sz="0" w:space="0" w:color="auto"/>
                <w:right w:val="none" w:sz="0" w:space="0" w:color="auto"/>
              </w:divBdr>
              <w:divsChild>
                <w:div w:id="16917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6535">
      <w:bodyDiv w:val="1"/>
      <w:marLeft w:val="0"/>
      <w:marRight w:val="0"/>
      <w:marTop w:val="0"/>
      <w:marBottom w:val="0"/>
      <w:divBdr>
        <w:top w:val="none" w:sz="0" w:space="0" w:color="auto"/>
        <w:left w:val="none" w:sz="0" w:space="0" w:color="auto"/>
        <w:bottom w:val="none" w:sz="0" w:space="0" w:color="auto"/>
        <w:right w:val="none" w:sz="0" w:space="0" w:color="auto"/>
      </w:divBdr>
    </w:div>
    <w:div w:id="1706517540">
      <w:bodyDiv w:val="1"/>
      <w:marLeft w:val="0"/>
      <w:marRight w:val="0"/>
      <w:marTop w:val="0"/>
      <w:marBottom w:val="0"/>
      <w:divBdr>
        <w:top w:val="none" w:sz="0" w:space="0" w:color="auto"/>
        <w:left w:val="none" w:sz="0" w:space="0" w:color="auto"/>
        <w:bottom w:val="none" w:sz="0" w:space="0" w:color="auto"/>
        <w:right w:val="none" w:sz="0" w:space="0" w:color="auto"/>
      </w:divBdr>
    </w:div>
    <w:div w:id="1766069639">
      <w:bodyDiv w:val="1"/>
      <w:marLeft w:val="0"/>
      <w:marRight w:val="0"/>
      <w:marTop w:val="0"/>
      <w:marBottom w:val="0"/>
      <w:divBdr>
        <w:top w:val="none" w:sz="0" w:space="0" w:color="auto"/>
        <w:left w:val="none" w:sz="0" w:space="0" w:color="auto"/>
        <w:bottom w:val="none" w:sz="0" w:space="0" w:color="auto"/>
        <w:right w:val="none" w:sz="0" w:space="0" w:color="auto"/>
      </w:divBdr>
    </w:div>
    <w:div w:id="1935934679">
      <w:bodyDiv w:val="1"/>
      <w:marLeft w:val="0"/>
      <w:marRight w:val="0"/>
      <w:marTop w:val="0"/>
      <w:marBottom w:val="0"/>
      <w:divBdr>
        <w:top w:val="none" w:sz="0" w:space="0" w:color="auto"/>
        <w:left w:val="none" w:sz="0" w:space="0" w:color="auto"/>
        <w:bottom w:val="none" w:sz="0" w:space="0" w:color="auto"/>
        <w:right w:val="none" w:sz="0" w:space="0" w:color="auto"/>
      </w:divBdr>
      <w:divsChild>
        <w:div w:id="1480877273">
          <w:marLeft w:val="0"/>
          <w:marRight w:val="0"/>
          <w:marTop w:val="0"/>
          <w:marBottom w:val="0"/>
          <w:divBdr>
            <w:top w:val="none" w:sz="0" w:space="0" w:color="auto"/>
            <w:left w:val="none" w:sz="0" w:space="0" w:color="auto"/>
            <w:bottom w:val="none" w:sz="0" w:space="0" w:color="auto"/>
            <w:right w:val="none" w:sz="0" w:space="0" w:color="auto"/>
          </w:divBdr>
          <w:divsChild>
            <w:div w:id="250698350">
              <w:marLeft w:val="0"/>
              <w:marRight w:val="0"/>
              <w:marTop w:val="0"/>
              <w:marBottom w:val="0"/>
              <w:divBdr>
                <w:top w:val="none" w:sz="0" w:space="0" w:color="auto"/>
                <w:left w:val="none" w:sz="0" w:space="0" w:color="auto"/>
                <w:bottom w:val="none" w:sz="0" w:space="0" w:color="auto"/>
                <w:right w:val="none" w:sz="0" w:space="0" w:color="auto"/>
              </w:divBdr>
              <w:divsChild>
                <w:div w:id="10950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1923">
      <w:bodyDiv w:val="1"/>
      <w:marLeft w:val="0"/>
      <w:marRight w:val="0"/>
      <w:marTop w:val="0"/>
      <w:marBottom w:val="0"/>
      <w:divBdr>
        <w:top w:val="none" w:sz="0" w:space="0" w:color="auto"/>
        <w:left w:val="none" w:sz="0" w:space="0" w:color="auto"/>
        <w:bottom w:val="none" w:sz="0" w:space="0" w:color="auto"/>
        <w:right w:val="none" w:sz="0" w:space="0" w:color="auto"/>
      </w:divBdr>
      <w:divsChild>
        <w:div w:id="1192107233">
          <w:marLeft w:val="0"/>
          <w:marRight w:val="0"/>
          <w:marTop w:val="0"/>
          <w:marBottom w:val="0"/>
          <w:divBdr>
            <w:top w:val="none" w:sz="0" w:space="0" w:color="auto"/>
            <w:left w:val="none" w:sz="0" w:space="0" w:color="auto"/>
            <w:bottom w:val="none" w:sz="0" w:space="0" w:color="auto"/>
            <w:right w:val="none" w:sz="0" w:space="0" w:color="auto"/>
          </w:divBdr>
          <w:divsChild>
            <w:div w:id="1304578806">
              <w:marLeft w:val="0"/>
              <w:marRight w:val="0"/>
              <w:marTop w:val="0"/>
              <w:marBottom w:val="0"/>
              <w:divBdr>
                <w:top w:val="none" w:sz="0" w:space="0" w:color="auto"/>
                <w:left w:val="none" w:sz="0" w:space="0" w:color="auto"/>
                <w:bottom w:val="none" w:sz="0" w:space="0" w:color="auto"/>
                <w:right w:val="none" w:sz="0" w:space="0" w:color="auto"/>
              </w:divBdr>
              <w:divsChild>
                <w:div w:id="1851526097">
                  <w:marLeft w:val="0"/>
                  <w:marRight w:val="0"/>
                  <w:marTop w:val="0"/>
                  <w:marBottom w:val="0"/>
                  <w:divBdr>
                    <w:top w:val="none" w:sz="0" w:space="0" w:color="auto"/>
                    <w:left w:val="none" w:sz="0" w:space="0" w:color="auto"/>
                    <w:bottom w:val="none" w:sz="0" w:space="0" w:color="auto"/>
                    <w:right w:val="none" w:sz="0" w:space="0" w:color="auto"/>
                  </w:divBdr>
                </w:div>
              </w:divsChild>
            </w:div>
            <w:div w:id="1301955834">
              <w:marLeft w:val="0"/>
              <w:marRight w:val="0"/>
              <w:marTop w:val="0"/>
              <w:marBottom w:val="0"/>
              <w:divBdr>
                <w:top w:val="none" w:sz="0" w:space="0" w:color="auto"/>
                <w:left w:val="none" w:sz="0" w:space="0" w:color="auto"/>
                <w:bottom w:val="none" w:sz="0" w:space="0" w:color="auto"/>
                <w:right w:val="none" w:sz="0" w:space="0" w:color="auto"/>
              </w:divBdr>
              <w:divsChild>
                <w:div w:id="18537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RL:https://dixigroup.org/analytic/ukra%D1%97na-ta" TargetMode="External"/><Relationship Id="rId5" Type="http://schemas.openxmlformats.org/officeDocument/2006/relationships/hyperlink" Target="https://recovery.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733</Words>
  <Characters>4488</Characters>
  <Application>Microsoft Office Word</Application>
  <DocSecurity>0</DocSecurity>
  <Lines>77</Lines>
  <Paragraphs>32</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Sofiia Vasylieva</dc:creator>
  <cp:keywords/>
  <dc:description/>
  <cp:lastModifiedBy>Sofiia Vasylieva</cp:lastModifiedBy>
  <cp:revision>2</cp:revision>
  <dcterms:created xsi:type="dcterms:W3CDTF">2024-09-19T16:55:00Z</dcterms:created>
  <dcterms:modified xsi:type="dcterms:W3CDTF">2024-09-19T19:59:00Z</dcterms:modified>
</cp:coreProperties>
</file>