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4D56" w14:textId="77777777" w:rsidR="0064237B" w:rsidRPr="00942CB7" w:rsidRDefault="0064237B" w:rsidP="0043457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C42">
        <w:rPr>
          <w:rFonts w:ascii="Times New Roman" w:hAnsi="Times New Roman" w:cs="Times New Roman"/>
          <w:b/>
          <w:bCs/>
          <w:sz w:val="28"/>
          <w:szCs w:val="28"/>
        </w:rPr>
        <w:t>СУЧАСНІ ТЕНДЕНЦІЇ КОНКУРЕНТОСПРОМОЖНОСТІ КРАЇН В ГЛСВ У КОНТЕКСТІ РОЗВИТКУ ІНВЕСТИЦІЙНОГО КЛІМАТУ</w:t>
      </w:r>
    </w:p>
    <w:p w14:paraId="429F9CEB" w14:textId="31F99533" w:rsidR="00CC1709" w:rsidRPr="007E765E" w:rsidRDefault="002875CB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Нестеров С.В.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1*</w:t>
      </w:r>
    </w:p>
    <w:p w14:paraId="266F1F39" w14:textId="0BD0BAD6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2875CB" w:rsidRPr="002875CB">
        <w:rPr>
          <w:rFonts w:ascii="Times New Roman" w:hAnsi="Times New Roman" w:cs="Times New Roman"/>
          <w:i/>
          <w:iCs/>
          <w:sz w:val="28"/>
          <w:szCs w:val="28"/>
        </w:rPr>
        <w:t>Дон</w:t>
      </w:r>
      <w:r w:rsidR="00434570">
        <w:rPr>
          <w:rFonts w:ascii="Times New Roman" w:hAnsi="Times New Roman" w:cs="Times New Roman"/>
          <w:i/>
          <w:iCs/>
          <w:sz w:val="28"/>
          <w:szCs w:val="28"/>
        </w:rPr>
        <w:t>НУ</w:t>
      </w:r>
      <w:r w:rsidR="00B942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5CB" w:rsidRPr="002875CB">
        <w:rPr>
          <w:rFonts w:ascii="Times New Roman" w:hAnsi="Times New Roman" w:cs="Times New Roman"/>
          <w:i/>
          <w:iCs/>
          <w:sz w:val="28"/>
          <w:szCs w:val="28"/>
        </w:rPr>
        <w:t>імені Василя Стуса</w:t>
      </w:r>
      <w:r w:rsidR="00B9428B">
        <w:rPr>
          <w:rFonts w:ascii="Times New Roman" w:hAnsi="Times New Roman" w:cs="Times New Roman"/>
          <w:i/>
          <w:iCs/>
          <w:sz w:val="28"/>
          <w:szCs w:val="28"/>
        </w:rPr>
        <w:t>, м. Вінниця, Україна</w:t>
      </w:r>
    </w:p>
    <w:p w14:paraId="100D9D36" w14:textId="1A0A6004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r w:rsidR="00B9428B" w:rsidRPr="00B9428B">
        <w:rPr>
          <w:rFonts w:ascii="Times New Roman" w:hAnsi="Times New Roman" w:cs="Times New Roman"/>
          <w:sz w:val="28"/>
          <w:szCs w:val="28"/>
        </w:rPr>
        <w:t>s.nesterov@donnu.edu.ua</w:t>
      </w:r>
    </w:p>
    <w:p w14:paraId="6075293D" w14:textId="77777777" w:rsidR="0064237B" w:rsidRDefault="0064237B" w:rsidP="00E95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993460" w14:textId="2496385F" w:rsidR="0064237B" w:rsidRDefault="0064237B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7B">
        <w:rPr>
          <w:rFonts w:ascii="Times New Roman" w:hAnsi="Times New Roman" w:cs="Times New Roman"/>
          <w:sz w:val="28"/>
          <w:szCs w:val="28"/>
        </w:rPr>
        <w:t>Глобальні ланцюги доданої вартості (</w:t>
      </w:r>
      <w:r>
        <w:rPr>
          <w:rFonts w:ascii="Times New Roman" w:hAnsi="Times New Roman" w:cs="Times New Roman"/>
          <w:sz w:val="28"/>
          <w:szCs w:val="28"/>
        </w:rPr>
        <w:t>ГЛДВ</w:t>
      </w:r>
      <w:r w:rsidRPr="0064237B">
        <w:rPr>
          <w:rFonts w:ascii="Times New Roman" w:hAnsi="Times New Roman" w:cs="Times New Roman"/>
          <w:sz w:val="28"/>
          <w:szCs w:val="28"/>
        </w:rPr>
        <w:t>) відіграли вирішальну роль у трансформації бізнес-секторів у багатьох країнах, що розвиваються, дозволяючи спеціалізуватися на певних видах діяльності та етапах виробництва. Участь у глобальних ланцюгах створення вартості часто асоціюється з більш швидкими темпами індустріалізації, що сприяє підвищенню як продуктивності фірм, так і створенню нових робочих місць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FE717C" w14:textId="482BA51A" w:rsidR="002875CB" w:rsidRDefault="0064237B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Актуальність д</w:t>
      </w:r>
      <w:r w:rsidR="00A74600">
        <w:rPr>
          <w:rFonts w:ascii="Times New Roman" w:hAnsi="Times New Roman" w:cs="Times New Roman"/>
          <w:sz w:val="28"/>
          <w:szCs w:val="28"/>
        </w:rPr>
        <w:t xml:space="preserve">ослідження факторів, що впливають на </w:t>
      </w:r>
      <w:r w:rsidR="00632E36">
        <w:rPr>
          <w:rFonts w:ascii="Times New Roman" w:hAnsi="Times New Roman" w:cs="Times New Roman"/>
          <w:sz w:val="28"/>
          <w:szCs w:val="28"/>
        </w:rPr>
        <w:t>участь</w:t>
      </w:r>
      <w:r w:rsidR="00A74600">
        <w:rPr>
          <w:rFonts w:ascii="Times New Roman" w:hAnsi="Times New Roman" w:cs="Times New Roman"/>
          <w:sz w:val="28"/>
          <w:szCs w:val="28"/>
        </w:rPr>
        <w:t xml:space="preserve"> країн </w:t>
      </w:r>
      <w:r w:rsidR="00632E36">
        <w:rPr>
          <w:rFonts w:ascii="Times New Roman" w:hAnsi="Times New Roman" w:cs="Times New Roman"/>
          <w:sz w:val="28"/>
          <w:szCs w:val="28"/>
        </w:rPr>
        <w:t>у</w:t>
      </w:r>
      <w:r w:rsidR="00A74600">
        <w:rPr>
          <w:rFonts w:ascii="Times New Roman" w:hAnsi="Times New Roman" w:cs="Times New Roman"/>
          <w:sz w:val="28"/>
          <w:szCs w:val="28"/>
        </w:rPr>
        <w:t xml:space="preserve"> ГЛСВ є важливим елементом повоєнного відновлення економічного потенціалу України її інтеграції у міжнародну </w:t>
      </w:r>
      <w:r w:rsidR="006E0100">
        <w:rPr>
          <w:rFonts w:ascii="Times New Roman" w:hAnsi="Times New Roman" w:cs="Times New Roman"/>
          <w:sz w:val="28"/>
          <w:szCs w:val="28"/>
        </w:rPr>
        <w:t>економіку</w:t>
      </w:r>
      <w:r w:rsidR="002875CB">
        <w:rPr>
          <w:rFonts w:ascii="Times New Roman" w:hAnsi="Times New Roman" w:cs="Times New Roman"/>
          <w:sz w:val="28"/>
          <w:szCs w:val="28"/>
        </w:rPr>
        <w:t xml:space="preserve"> шляхом участі у створенні доданої вартості</w:t>
      </w:r>
      <w:r w:rsidR="00632E36">
        <w:rPr>
          <w:rFonts w:ascii="Times New Roman" w:hAnsi="Times New Roman" w:cs="Times New Roman"/>
          <w:sz w:val="28"/>
          <w:szCs w:val="28"/>
        </w:rPr>
        <w:t xml:space="preserve"> та залучення прямих іноземних інвестицій</w:t>
      </w:r>
      <w:r w:rsidR="002875CB">
        <w:rPr>
          <w:rFonts w:ascii="Times New Roman" w:hAnsi="Times New Roman" w:cs="Times New Roman"/>
          <w:sz w:val="28"/>
          <w:szCs w:val="28"/>
        </w:rPr>
        <w:t>.</w:t>
      </w:r>
      <w:r w:rsidR="00731F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34F1A" w14:textId="0C3CA79B" w:rsidR="00151229" w:rsidRDefault="006E0100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600">
        <w:rPr>
          <w:rFonts w:ascii="Times New Roman" w:hAnsi="Times New Roman" w:cs="Times New Roman"/>
          <w:sz w:val="28"/>
          <w:szCs w:val="28"/>
        </w:rPr>
        <w:t xml:space="preserve"> </w:t>
      </w:r>
      <w:r w:rsidR="00151229" w:rsidRPr="00B65BE3">
        <w:rPr>
          <w:rFonts w:ascii="Times New Roman" w:hAnsi="Times New Roman" w:cs="Times New Roman"/>
          <w:sz w:val="28"/>
          <w:szCs w:val="28"/>
        </w:rPr>
        <w:t>Одним з перших</w:t>
      </w:r>
      <w:r w:rsidR="00151229">
        <w:rPr>
          <w:rFonts w:ascii="Times New Roman" w:hAnsi="Times New Roman" w:cs="Times New Roman"/>
          <w:sz w:val="28"/>
          <w:szCs w:val="28"/>
        </w:rPr>
        <w:t xml:space="preserve"> науковців, кон</w:t>
      </w:r>
      <w:r w:rsidR="00151229" w:rsidRPr="00B65BE3">
        <w:rPr>
          <w:rFonts w:ascii="Times New Roman" w:hAnsi="Times New Roman" w:cs="Times New Roman"/>
          <w:sz w:val="28"/>
          <w:szCs w:val="28"/>
        </w:rPr>
        <w:t>цепці</w:t>
      </w:r>
      <w:r w:rsidR="00151229">
        <w:rPr>
          <w:rFonts w:ascii="Times New Roman" w:hAnsi="Times New Roman" w:cs="Times New Roman"/>
          <w:sz w:val="28"/>
          <w:szCs w:val="28"/>
        </w:rPr>
        <w:t>ю</w:t>
      </w:r>
      <w:r w:rsidR="00151229" w:rsidRPr="00B65BE3">
        <w:rPr>
          <w:rFonts w:ascii="Times New Roman" w:hAnsi="Times New Roman" w:cs="Times New Roman"/>
          <w:sz w:val="28"/>
          <w:szCs w:val="28"/>
        </w:rPr>
        <w:t xml:space="preserve"> </w:t>
      </w:r>
      <w:r w:rsidR="00151229">
        <w:rPr>
          <w:rFonts w:ascii="Times New Roman" w:hAnsi="Times New Roman" w:cs="Times New Roman"/>
          <w:sz w:val="28"/>
          <w:szCs w:val="28"/>
        </w:rPr>
        <w:t>ГЛДВ</w:t>
      </w:r>
      <w:r w:rsidR="00151229" w:rsidRPr="00B65BE3">
        <w:rPr>
          <w:rFonts w:ascii="Times New Roman" w:hAnsi="Times New Roman" w:cs="Times New Roman"/>
          <w:sz w:val="28"/>
          <w:szCs w:val="28"/>
        </w:rPr>
        <w:t xml:space="preserve"> </w:t>
      </w:r>
      <w:r w:rsidR="00151229">
        <w:rPr>
          <w:rFonts w:ascii="Times New Roman" w:hAnsi="Times New Roman" w:cs="Times New Roman"/>
          <w:sz w:val="28"/>
          <w:szCs w:val="28"/>
        </w:rPr>
        <w:t>у</w:t>
      </w:r>
      <w:r w:rsidR="00151229" w:rsidRPr="00B65BE3">
        <w:rPr>
          <w:rFonts w:ascii="Times New Roman" w:hAnsi="Times New Roman" w:cs="Times New Roman"/>
          <w:sz w:val="28"/>
          <w:szCs w:val="28"/>
        </w:rPr>
        <w:t xml:space="preserve"> 1970-х роках почав розвивати Майкл Портер. Вклад в дослідження </w:t>
      </w:r>
      <w:r w:rsidR="00151229">
        <w:rPr>
          <w:rFonts w:ascii="Times New Roman" w:hAnsi="Times New Roman" w:cs="Times New Roman"/>
          <w:sz w:val="28"/>
          <w:szCs w:val="28"/>
        </w:rPr>
        <w:t xml:space="preserve">ГЛДВ </w:t>
      </w:r>
      <w:r w:rsidR="00151229" w:rsidRPr="00B65BE3">
        <w:rPr>
          <w:rFonts w:ascii="Times New Roman" w:hAnsi="Times New Roman" w:cs="Times New Roman"/>
          <w:sz w:val="28"/>
          <w:szCs w:val="28"/>
        </w:rPr>
        <w:t xml:space="preserve">найбільше внесли Гаррі </w:t>
      </w:r>
      <w:proofErr w:type="spellStart"/>
      <w:r w:rsidR="00151229" w:rsidRPr="00B65BE3">
        <w:rPr>
          <w:rFonts w:ascii="Times New Roman" w:hAnsi="Times New Roman" w:cs="Times New Roman"/>
          <w:sz w:val="28"/>
          <w:szCs w:val="28"/>
        </w:rPr>
        <w:t>Джереффі</w:t>
      </w:r>
      <w:proofErr w:type="spellEnd"/>
      <w:r w:rsidR="00151229" w:rsidRPr="00B65BE3">
        <w:rPr>
          <w:rFonts w:ascii="Times New Roman" w:hAnsi="Times New Roman" w:cs="Times New Roman"/>
          <w:sz w:val="28"/>
          <w:szCs w:val="28"/>
        </w:rPr>
        <w:t xml:space="preserve"> та Рафаель </w:t>
      </w:r>
      <w:proofErr w:type="spellStart"/>
      <w:r w:rsidR="00151229" w:rsidRPr="00B65BE3">
        <w:rPr>
          <w:rFonts w:ascii="Times New Roman" w:hAnsi="Times New Roman" w:cs="Times New Roman"/>
          <w:sz w:val="28"/>
          <w:szCs w:val="28"/>
        </w:rPr>
        <w:t>Каплинські</w:t>
      </w:r>
      <w:proofErr w:type="spellEnd"/>
      <w:r w:rsidR="00151229" w:rsidRPr="00B65BE3">
        <w:rPr>
          <w:rFonts w:ascii="Times New Roman" w:hAnsi="Times New Roman" w:cs="Times New Roman"/>
          <w:sz w:val="28"/>
          <w:szCs w:val="28"/>
        </w:rPr>
        <w:t xml:space="preserve">. </w:t>
      </w:r>
      <w:r w:rsidR="00151229">
        <w:rPr>
          <w:rFonts w:ascii="Times New Roman" w:hAnsi="Times New Roman" w:cs="Times New Roman"/>
          <w:sz w:val="28"/>
          <w:szCs w:val="28"/>
        </w:rPr>
        <w:t xml:space="preserve">Серед науковців, які </w:t>
      </w:r>
      <w:r w:rsidR="00151229" w:rsidRPr="00B65BE3">
        <w:rPr>
          <w:rFonts w:ascii="Times New Roman" w:hAnsi="Times New Roman" w:cs="Times New Roman"/>
          <w:sz w:val="28"/>
          <w:szCs w:val="28"/>
        </w:rPr>
        <w:t xml:space="preserve">досліджують теоретичні та практичні інструменти аналізу </w:t>
      </w:r>
      <w:r w:rsidR="00151229">
        <w:rPr>
          <w:rFonts w:ascii="Times New Roman" w:hAnsi="Times New Roman" w:cs="Times New Roman"/>
          <w:sz w:val="28"/>
          <w:szCs w:val="28"/>
        </w:rPr>
        <w:t xml:space="preserve">ГЛДВ </w:t>
      </w:r>
      <w:r w:rsidR="00151229" w:rsidRPr="00B65BE3">
        <w:rPr>
          <w:rFonts w:ascii="Times New Roman" w:hAnsi="Times New Roman" w:cs="Times New Roman"/>
          <w:sz w:val="28"/>
          <w:szCs w:val="28"/>
        </w:rPr>
        <w:t>та управління ними</w:t>
      </w:r>
      <w:r w:rsidR="00151229">
        <w:rPr>
          <w:rFonts w:ascii="Times New Roman" w:hAnsi="Times New Roman" w:cs="Times New Roman"/>
          <w:sz w:val="28"/>
          <w:szCs w:val="28"/>
        </w:rPr>
        <w:t xml:space="preserve"> слід назвати </w:t>
      </w:r>
      <w:r w:rsidR="00107B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51229" w:rsidRPr="00E10A6F">
        <w:rPr>
          <w:rFonts w:ascii="Times New Roman" w:hAnsi="Times New Roman" w:cs="Times New Roman"/>
          <w:sz w:val="28"/>
          <w:szCs w:val="28"/>
        </w:rPr>
        <w:t>В</w:t>
      </w:r>
      <w:r w:rsidR="00151229">
        <w:rPr>
          <w:rFonts w:ascii="Times New Roman" w:hAnsi="Times New Roman" w:cs="Times New Roman"/>
          <w:sz w:val="28"/>
          <w:szCs w:val="28"/>
        </w:rPr>
        <w:t>.</w:t>
      </w:r>
      <w:r w:rsidR="00151229" w:rsidRPr="00E10A6F">
        <w:rPr>
          <w:rFonts w:ascii="Times New Roman" w:hAnsi="Times New Roman" w:cs="Times New Roman"/>
          <w:sz w:val="28"/>
          <w:szCs w:val="28"/>
        </w:rPr>
        <w:t xml:space="preserve"> Панченк</w:t>
      </w:r>
      <w:r w:rsidR="00151229">
        <w:rPr>
          <w:rFonts w:ascii="Times New Roman" w:hAnsi="Times New Roman" w:cs="Times New Roman"/>
          <w:sz w:val="28"/>
          <w:szCs w:val="28"/>
        </w:rPr>
        <w:t xml:space="preserve">а, Н. </w:t>
      </w:r>
      <w:proofErr w:type="spellStart"/>
      <w:r w:rsidR="00151229">
        <w:rPr>
          <w:rFonts w:ascii="Times New Roman" w:hAnsi="Times New Roman" w:cs="Times New Roman"/>
          <w:sz w:val="28"/>
          <w:szCs w:val="28"/>
        </w:rPr>
        <w:t>Резнікову</w:t>
      </w:r>
      <w:proofErr w:type="spellEnd"/>
      <w:r w:rsidR="00151229">
        <w:rPr>
          <w:rFonts w:ascii="Times New Roman" w:hAnsi="Times New Roman" w:cs="Times New Roman"/>
          <w:sz w:val="28"/>
          <w:szCs w:val="28"/>
        </w:rPr>
        <w:t xml:space="preserve">, </w:t>
      </w:r>
      <w:r w:rsidR="00151229" w:rsidRPr="00B65BE3">
        <w:rPr>
          <w:rFonts w:ascii="Times New Roman" w:hAnsi="Times New Roman" w:cs="Times New Roman"/>
          <w:sz w:val="28"/>
          <w:szCs w:val="28"/>
        </w:rPr>
        <w:t>І.Ю.</w:t>
      </w:r>
      <w:r w:rsidR="001512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51229" w:rsidRPr="00B65BE3">
        <w:rPr>
          <w:rFonts w:ascii="Times New Roman" w:hAnsi="Times New Roman" w:cs="Times New Roman"/>
          <w:sz w:val="28"/>
          <w:szCs w:val="28"/>
        </w:rPr>
        <w:t>Гужв</w:t>
      </w:r>
      <w:r w:rsidR="0015122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51229" w:rsidRPr="00B65BE3">
        <w:rPr>
          <w:rFonts w:ascii="Times New Roman" w:hAnsi="Times New Roman" w:cs="Times New Roman"/>
          <w:sz w:val="28"/>
          <w:szCs w:val="28"/>
        </w:rPr>
        <w:t>, А.С.</w:t>
      </w:r>
      <w:r w:rsidR="00151229">
        <w:rPr>
          <w:rFonts w:ascii="Times New Roman" w:hAnsi="Times New Roman" w:cs="Times New Roman"/>
          <w:sz w:val="28"/>
          <w:szCs w:val="28"/>
        </w:rPr>
        <w:t xml:space="preserve"> </w:t>
      </w:r>
      <w:r w:rsidR="00151229" w:rsidRPr="00B65BE3">
        <w:rPr>
          <w:rFonts w:ascii="Times New Roman" w:hAnsi="Times New Roman" w:cs="Times New Roman"/>
          <w:sz w:val="28"/>
          <w:szCs w:val="28"/>
        </w:rPr>
        <w:t>Філіпенк</w:t>
      </w:r>
      <w:r w:rsidR="00151229">
        <w:rPr>
          <w:rFonts w:ascii="Times New Roman" w:hAnsi="Times New Roman" w:cs="Times New Roman"/>
          <w:sz w:val="28"/>
          <w:szCs w:val="28"/>
        </w:rPr>
        <w:t>а</w:t>
      </w:r>
      <w:r w:rsidR="00151229" w:rsidRPr="00B65BE3">
        <w:rPr>
          <w:rFonts w:ascii="Times New Roman" w:hAnsi="Times New Roman" w:cs="Times New Roman"/>
          <w:sz w:val="28"/>
          <w:szCs w:val="28"/>
        </w:rPr>
        <w:t>, О.М.</w:t>
      </w:r>
      <w:r w:rsidR="00151229">
        <w:rPr>
          <w:rFonts w:ascii="Times New Roman" w:hAnsi="Times New Roman" w:cs="Times New Roman"/>
          <w:sz w:val="28"/>
          <w:szCs w:val="28"/>
        </w:rPr>
        <w:t xml:space="preserve"> </w:t>
      </w:r>
      <w:r w:rsidR="00151229" w:rsidRPr="00B65BE3">
        <w:rPr>
          <w:rFonts w:ascii="Times New Roman" w:hAnsi="Times New Roman" w:cs="Times New Roman"/>
          <w:sz w:val="28"/>
          <w:szCs w:val="28"/>
        </w:rPr>
        <w:t>Бородін</w:t>
      </w:r>
      <w:r w:rsidR="00151229">
        <w:rPr>
          <w:rFonts w:ascii="Times New Roman" w:hAnsi="Times New Roman" w:cs="Times New Roman"/>
          <w:sz w:val="28"/>
          <w:szCs w:val="28"/>
        </w:rPr>
        <w:t>у</w:t>
      </w:r>
      <w:r w:rsidR="00151229" w:rsidRPr="00B65BE3">
        <w:rPr>
          <w:rFonts w:ascii="Times New Roman" w:hAnsi="Times New Roman" w:cs="Times New Roman"/>
          <w:sz w:val="28"/>
          <w:szCs w:val="28"/>
        </w:rPr>
        <w:t>, Є.В.</w:t>
      </w:r>
      <w:r w:rsidR="001512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51229" w:rsidRPr="00B65BE3">
        <w:rPr>
          <w:rFonts w:ascii="Times New Roman" w:hAnsi="Times New Roman" w:cs="Times New Roman"/>
          <w:sz w:val="28"/>
          <w:szCs w:val="28"/>
        </w:rPr>
        <w:t>Крикавськ</w:t>
      </w:r>
      <w:r w:rsidR="0015122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51229" w:rsidRPr="00B65BE3">
        <w:rPr>
          <w:rFonts w:ascii="Times New Roman" w:hAnsi="Times New Roman" w:cs="Times New Roman"/>
          <w:sz w:val="28"/>
          <w:szCs w:val="28"/>
        </w:rPr>
        <w:t>, А.І.</w:t>
      </w:r>
      <w:r w:rsidR="001512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51229" w:rsidRPr="00B65BE3">
        <w:rPr>
          <w:rFonts w:ascii="Times New Roman" w:hAnsi="Times New Roman" w:cs="Times New Roman"/>
          <w:sz w:val="28"/>
          <w:szCs w:val="28"/>
        </w:rPr>
        <w:t>Ігнатюк</w:t>
      </w:r>
      <w:r w:rsidR="001512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51229">
        <w:rPr>
          <w:rFonts w:ascii="Times New Roman" w:hAnsi="Times New Roman" w:cs="Times New Roman"/>
          <w:sz w:val="28"/>
          <w:szCs w:val="28"/>
        </w:rPr>
        <w:t xml:space="preserve"> та інші. </w:t>
      </w:r>
      <w:r w:rsidR="00151229" w:rsidRPr="00105073">
        <w:rPr>
          <w:rFonts w:ascii="Times New Roman" w:hAnsi="Times New Roman" w:cs="Times New Roman"/>
          <w:sz w:val="28"/>
          <w:szCs w:val="28"/>
        </w:rPr>
        <w:t xml:space="preserve">Проблемам інвестиційного іміджу та інвестиційної привабливості країн присвячено велику кількість робіт вчених: В.Г. Федоренко, І.П. Мойсеєнко, К.А. </w:t>
      </w:r>
      <w:proofErr w:type="spellStart"/>
      <w:r w:rsidR="00151229" w:rsidRPr="00105073">
        <w:rPr>
          <w:rFonts w:ascii="Times New Roman" w:hAnsi="Times New Roman" w:cs="Times New Roman"/>
          <w:sz w:val="28"/>
          <w:szCs w:val="28"/>
        </w:rPr>
        <w:t>Пріба</w:t>
      </w:r>
      <w:proofErr w:type="spellEnd"/>
      <w:r w:rsidR="00151229" w:rsidRPr="00105073">
        <w:rPr>
          <w:rFonts w:ascii="Times New Roman" w:hAnsi="Times New Roman" w:cs="Times New Roman"/>
          <w:sz w:val="28"/>
          <w:szCs w:val="28"/>
        </w:rPr>
        <w:t>, О.Ю. Амосов, та багатьох інших.</w:t>
      </w:r>
    </w:p>
    <w:p w14:paraId="20296444" w14:textId="595BC7A1" w:rsidR="00632E36" w:rsidRDefault="00632E36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</w:t>
      </w:r>
      <w:r w:rsidRPr="00A95953">
        <w:rPr>
          <w:rFonts w:ascii="Times New Roman" w:hAnsi="Times New Roman" w:cs="Times New Roman"/>
          <w:sz w:val="28"/>
          <w:szCs w:val="28"/>
        </w:rPr>
        <w:t>ізн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95953">
        <w:rPr>
          <w:rFonts w:ascii="Times New Roman" w:hAnsi="Times New Roman" w:cs="Times New Roman"/>
          <w:sz w:val="28"/>
          <w:szCs w:val="28"/>
        </w:rPr>
        <w:t xml:space="preserve"> джерела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5953">
        <w:rPr>
          <w:rFonts w:ascii="Times New Roman" w:hAnsi="Times New Roman" w:cs="Times New Roman"/>
          <w:sz w:val="28"/>
          <w:szCs w:val="28"/>
        </w:rPr>
        <w:t xml:space="preserve"> літератури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5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які описують </w:t>
      </w:r>
      <w:r w:rsidRPr="00A95953">
        <w:rPr>
          <w:rFonts w:ascii="Times New Roman" w:hAnsi="Times New Roman" w:cs="Times New Roman"/>
          <w:sz w:val="28"/>
          <w:szCs w:val="28"/>
        </w:rPr>
        <w:t>досліджен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A95953">
        <w:rPr>
          <w:rFonts w:ascii="Times New Roman" w:hAnsi="Times New Roman" w:cs="Times New Roman"/>
          <w:sz w:val="28"/>
          <w:szCs w:val="28"/>
        </w:rPr>
        <w:t xml:space="preserve"> ГЛСВ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A95953">
        <w:rPr>
          <w:rFonts w:ascii="Times New Roman" w:hAnsi="Times New Roman" w:cs="Times New Roman"/>
          <w:sz w:val="28"/>
          <w:szCs w:val="28"/>
        </w:rPr>
        <w:t xml:space="preserve"> прямих іноземних інвестицій</w:t>
      </w:r>
      <w:r>
        <w:rPr>
          <w:rFonts w:ascii="Times New Roman" w:hAnsi="Times New Roman" w:cs="Times New Roman"/>
          <w:sz w:val="28"/>
          <w:szCs w:val="28"/>
        </w:rPr>
        <w:t xml:space="preserve"> (ПІІ)</w:t>
      </w:r>
      <w:r w:rsidRPr="00A95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зазначено, що Г</w:t>
      </w:r>
      <w:r w:rsidRPr="00A95953">
        <w:rPr>
          <w:rFonts w:ascii="Times New Roman" w:hAnsi="Times New Roman" w:cs="Times New Roman"/>
          <w:sz w:val="28"/>
          <w:szCs w:val="28"/>
        </w:rPr>
        <w:t>ЛСВ та ПІІ є взаємодоповнюючими явищами, які необхідно враховувати одночасно, намагаючись охопити географічний та функціональний вимір глобального зв'язку, який наразі розглядається на національному рівні і все ще не визнається ключови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5953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5953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A95953">
        <w:rPr>
          <w:rFonts w:ascii="Times New Roman" w:hAnsi="Times New Roman" w:cs="Times New Roman"/>
          <w:sz w:val="28"/>
          <w:szCs w:val="28"/>
        </w:rPr>
        <w:t>субнаціональних</w:t>
      </w:r>
      <w:proofErr w:type="spellEnd"/>
      <w:r w:rsidRPr="00A95953">
        <w:rPr>
          <w:rFonts w:ascii="Times New Roman" w:hAnsi="Times New Roman" w:cs="Times New Roman"/>
          <w:sz w:val="28"/>
          <w:szCs w:val="28"/>
        </w:rPr>
        <w:t xml:space="preserve"> регіонів</w:t>
      </w:r>
      <w:r w:rsidR="00434570">
        <w:rPr>
          <w:rFonts w:ascii="Times New Roman" w:hAnsi="Times New Roman" w:cs="Times New Roman"/>
          <w:sz w:val="28"/>
          <w:szCs w:val="28"/>
        </w:rPr>
        <w:t xml:space="preserve"> </w:t>
      </w:r>
      <w:r w:rsidR="00434570" w:rsidRPr="0048435A">
        <w:rPr>
          <w:rFonts w:ascii="Times New Roman" w:hAnsi="Times New Roman" w:cs="Times New Roman"/>
          <w:sz w:val="28"/>
          <w:szCs w:val="28"/>
        </w:rPr>
        <w:t>[</w:t>
      </w:r>
      <w:r w:rsidR="00434570">
        <w:rPr>
          <w:rFonts w:ascii="Times New Roman" w:hAnsi="Times New Roman" w:cs="Times New Roman"/>
          <w:sz w:val="28"/>
          <w:szCs w:val="28"/>
        </w:rPr>
        <w:t>1</w:t>
      </w:r>
      <w:r w:rsidR="00434570" w:rsidRPr="002C54E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4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D7377" w14:textId="26C376BF" w:rsidR="00632E36" w:rsidRDefault="00632E36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53">
        <w:rPr>
          <w:rFonts w:ascii="Times New Roman" w:hAnsi="Times New Roman" w:cs="Times New Roman"/>
          <w:sz w:val="28"/>
          <w:szCs w:val="28"/>
        </w:rPr>
        <w:t xml:space="preserve">Виклики, з якими стикається світ, багатогранні та взаємопов'язані. </w:t>
      </w:r>
      <w:r w:rsidRPr="00860FE2">
        <w:rPr>
          <w:rFonts w:ascii="Times New Roman" w:hAnsi="Times New Roman" w:cs="Times New Roman"/>
          <w:sz w:val="28"/>
          <w:szCs w:val="28"/>
        </w:rPr>
        <w:t xml:space="preserve">Геоекономічна фрагментація змінює ландшафт глобальних інвестицій. </w:t>
      </w:r>
      <w:r w:rsidRPr="00A95953">
        <w:rPr>
          <w:rFonts w:ascii="Times New Roman" w:hAnsi="Times New Roman" w:cs="Times New Roman"/>
          <w:sz w:val="28"/>
          <w:szCs w:val="28"/>
        </w:rPr>
        <w:t>Торгівельні мережі фрагментуються, регуляторне середовище розходиться, а міжнародні ланцюги поставок перебудовуються.</w:t>
      </w:r>
      <w:r w:rsidRPr="00860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Такі зміни створюють можливості для одних </w:t>
      </w:r>
      <w:r w:rsidRPr="00E73E4A">
        <w:rPr>
          <w:rFonts w:ascii="Times New Roman" w:hAnsi="Times New Roman" w:cs="Times New Roman"/>
          <w:sz w:val="28"/>
          <w:szCs w:val="28"/>
          <w:lang w:val="ro-RO"/>
        </w:rPr>
        <w:t>учасників створення доданої вартості та негативно впливають на інших.</w:t>
      </w:r>
    </w:p>
    <w:p w14:paraId="5D946BBA" w14:textId="3DB6057E" w:rsidR="00107B73" w:rsidRDefault="00632E36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4A">
        <w:rPr>
          <w:rFonts w:ascii="Times New Roman" w:hAnsi="Times New Roman" w:cs="Times New Roman"/>
          <w:sz w:val="28"/>
          <w:szCs w:val="28"/>
          <w:lang w:val="ro-RO"/>
        </w:rPr>
        <w:t xml:space="preserve">У 2023 році ПІІ впали більш ніж на 10 відсотків у всьому світі, а в країнах, що розвиваються, – на 7 відсотків. Особливо сильно постраждало міжнародне </w:t>
      </w:r>
      <w:r w:rsidRPr="00BC012F">
        <w:rPr>
          <w:rFonts w:ascii="Times New Roman" w:hAnsi="Times New Roman" w:cs="Times New Roman"/>
          <w:sz w:val="28"/>
          <w:szCs w:val="28"/>
        </w:rPr>
        <w:t>проектне фінансування, яке має вирішальне значення для розвитку інфраструктури, скоротившись на 26 відсотків</w:t>
      </w:r>
      <w:r w:rsidR="00BC012F" w:rsidRPr="00BC012F">
        <w:rPr>
          <w:rFonts w:ascii="Times New Roman" w:hAnsi="Times New Roman" w:cs="Times New Roman"/>
          <w:sz w:val="28"/>
          <w:szCs w:val="28"/>
        </w:rPr>
        <w:t xml:space="preserve"> </w:t>
      </w:r>
      <w:r w:rsidR="00BC012F" w:rsidRPr="0048435A">
        <w:rPr>
          <w:rFonts w:ascii="Times New Roman" w:hAnsi="Times New Roman" w:cs="Times New Roman"/>
          <w:sz w:val="28"/>
          <w:szCs w:val="28"/>
        </w:rPr>
        <w:t>[</w:t>
      </w:r>
      <w:r w:rsidR="00BC012F" w:rsidRPr="00BC012F">
        <w:rPr>
          <w:rFonts w:ascii="Times New Roman" w:hAnsi="Times New Roman" w:cs="Times New Roman"/>
          <w:sz w:val="28"/>
          <w:szCs w:val="28"/>
        </w:rPr>
        <w:t>2</w:t>
      </w:r>
      <w:r w:rsidR="00BC012F" w:rsidRPr="002C54EC">
        <w:rPr>
          <w:rFonts w:ascii="Times New Roman" w:hAnsi="Times New Roman" w:cs="Times New Roman"/>
          <w:sz w:val="28"/>
          <w:szCs w:val="28"/>
        </w:rPr>
        <w:t>]</w:t>
      </w:r>
      <w:r w:rsidRPr="00BC012F">
        <w:rPr>
          <w:rFonts w:ascii="Times New Roman" w:hAnsi="Times New Roman" w:cs="Times New Roman"/>
          <w:sz w:val="28"/>
          <w:szCs w:val="28"/>
        </w:rPr>
        <w:t>.</w:t>
      </w:r>
      <w:r w:rsidR="00107B73" w:rsidRPr="001206C9">
        <w:rPr>
          <w:rFonts w:ascii="Times New Roman" w:hAnsi="Times New Roman" w:cs="Times New Roman"/>
          <w:sz w:val="28"/>
          <w:szCs w:val="28"/>
        </w:rPr>
        <w:t>Глобальне середовище для міжнародних інвестицій залишається складним</w:t>
      </w:r>
      <w:r w:rsidR="00107B73">
        <w:rPr>
          <w:rFonts w:ascii="Times New Roman" w:hAnsi="Times New Roman" w:cs="Times New Roman"/>
          <w:sz w:val="28"/>
          <w:szCs w:val="28"/>
        </w:rPr>
        <w:t xml:space="preserve"> і</w:t>
      </w:r>
      <w:r w:rsidR="00107B73" w:rsidRPr="001206C9">
        <w:rPr>
          <w:rFonts w:ascii="Times New Roman" w:hAnsi="Times New Roman" w:cs="Times New Roman"/>
          <w:sz w:val="28"/>
          <w:szCs w:val="28"/>
        </w:rPr>
        <w:t xml:space="preserve"> у 2024 році з послабленою перспективою розвитку та збереженням геополітичної напруженості.</w:t>
      </w:r>
      <w:r w:rsidR="00107B73" w:rsidRPr="0006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A5ECF" w14:textId="77777777" w:rsidR="00E95492" w:rsidRDefault="00E95492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385C7" w14:textId="77777777" w:rsidR="00E95492" w:rsidRDefault="00E95492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041C1" w14:textId="12784A05" w:rsidR="00632E36" w:rsidRPr="00632E36" w:rsidRDefault="000A6610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BC6C99" wp14:editId="57CD6C70">
            <wp:extent cx="5626100" cy="2878372"/>
            <wp:effectExtent l="0" t="0" r="12700" b="17780"/>
            <wp:docPr id="27112803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AC5AC5E" w14:textId="30A3CF24" w:rsidR="00107B73" w:rsidRDefault="00107B73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 1. </w:t>
      </w:r>
      <w:r w:rsidRPr="007F41E2">
        <w:rPr>
          <w:rFonts w:ascii="Times New Roman" w:hAnsi="Times New Roman" w:cs="Times New Roman"/>
          <w:sz w:val="28"/>
          <w:szCs w:val="28"/>
        </w:rPr>
        <w:t>Надходження прямих іноземних інвестицій (ПІІ) за економічними групами та регіонами</w:t>
      </w:r>
      <w:r w:rsidRPr="00BC0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435A">
        <w:rPr>
          <w:rFonts w:ascii="Times New Roman" w:hAnsi="Times New Roman" w:cs="Times New Roman"/>
          <w:sz w:val="28"/>
          <w:szCs w:val="28"/>
        </w:rPr>
        <w:t>[</w:t>
      </w:r>
      <w:r w:rsidRPr="00BC012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C54EC">
        <w:rPr>
          <w:rFonts w:ascii="Times New Roman" w:hAnsi="Times New Roman" w:cs="Times New Roman"/>
          <w:sz w:val="28"/>
          <w:szCs w:val="28"/>
        </w:rPr>
        <w:t>]</w:t>
      </w:r>
      <w:r w:rsidRPr="00BC0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62671" w14:textId="77777777" w:rsidR="00E95492" w:rsidRDefault="00E95492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0B1D6" w14:textId="6D181DC3" w:rsidR="008A2957" w:rsidRDefault="000A28D8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D">
        <w:rPr>
          <w:rFonts w:ascii="Times New Roman" w:hAnsi="Times New Roman" w:cs="Times New Roman"/>
          <w:sz w:val="28"/>
          <w:szCs w:val="28"/>
        </w:rPr>
        <w:t xml:space="preserve">Слабкі ринки </w:t>
      </w:r>
      <w:proofErr w:type="spellStart"/>
      <w:r w:rsidRPr="000653CD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Pr="000653CD">
        <w:rPr>
          <w:rFonts w:ascii="Times New Roman" w:hAnsi="Times New Roman" w:cs="Times New Roman"/>
          <w:sz w:val="28"/>
          <w:szCs w:val="28"/>
        </w:rPr>
        <w:t xml:space="preserve"> фінансування негативно вплинули на інвестиції в інфраструктуру</w:t>
      </w:r>
      <w:r>
        <w:rPr>
          <w:rFonts w:ascii="Times New Roman" w:hAnsi="Times New Roman" w:cs="Times New Roman"/>
          <w:sz w:val="28"/>
          <w:szCs w:val="28"/>
        </w:rPr>
        <w:t>, проте с</w:t>
      </w:r>
      <w:r w:rsidRPr="000653CD">
        <w:rPr>
          <w:rFonts w:ascii="Times New Roman" w:hAnsi="Times New Roman" w:cs="Times New Roman"/>
          <w:sz w:val="28"/>
          <w:szCs w:val="28"/>
        </w:rPr>
        <w:t>ектори з інтенсивним використанням ланцюжків доданої вартості, включаючи автомобілебудування, електроніку та машинобудування, значно зросли.</w:t>
      </w:r>
      <w:r w:rsidR="008A2957">
        <w:rPr>
          <w:rFonts w:ascii="Times New Roman" w:hAnsi="Times New Roman" w:cs="Times New Roman"/>
          <w:sz w:val="28"/>
          <w:szCs w:val="28"/>
        </w:rPr>
        <w:t xml:space="preserve"> Зростання інвестицій в сектори з ефективним використанням </w:t>
      </w:r>
      <w:r w:rsidR="00082AA9">
        <w:rPr>
          <w:rFonts w:ascii="Times New Roman" w:hAnsi="Times New Roman" w:cs="Times New Roman"/>
          <w:sz w:val="28"/>
          <w:szCs w:val="28"/>
        </w:rPr>
        <w:t>Г</w:t>
      </w:r>
      <w:r w:rsidR="008A2957">
        <w:rPr>
          <w:rFonts w:ascii="Times New Roman" w:hAnsi="Times New Roman" w:cs="Times New Roman"/>
          <w:sz w:val="28"/>
          <w:szCs w:val="28"/>
        </w:rPr>
        <w:t xml:space="preserve">ЛДВ на фоні складного становища у сфері міжнародних інвестицій обумовлює актуальність дослідження саме в цій сфері.  </w:t>
      </w:r>
    </w:p>
    <w:p w14:paraId="0A323C4E" w14:textId="357A1E0C" w:rsidR="003D2044" w:rsidRPr="003D2044" w:rsidRDefault="003D2044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розрізі дослідження ГЛСВ основними ключовими складовими елементами є:</w:t>
      </w:r>
      <w:r w:rsidR="008A4902">
        <w:rPr>
          <w:rFonts w:ascii="Times New Roman" w:hAnsi="Times New Roman" w:cs="Times New Roman"/>
          <w:sz w:val="28"/>
          <w:szCs w:val="28"/>
        </w:rPr>
        <w:t xml:space="preserve"> </w:t>
      </w:r>
      <w:r w:rsidRPr="003D2044">
        <w:rPr>
          <w:rFonts w:ascii="Times New Roman" w:hAnsi="Times New Roman" w:cs="Times New Roman"/>
          <w:sz w:val="28"/>
          <w:szCs w:val="28"/>
        </w:rPr>
        <w:t>прямі іноземні інвестиції;</w:t>
      </w:r>
      <w:r w:rsidR="008A4902">
        <w:rPr>
          <w:rFonts w:ascii="Times New Roman" w:hAnsi="Times New Roman" w:cs="Times New Roman"/>
          <w:sz w:val="28"/>
          <w:szCs w:val="28"/>
        </w:rPr>
        <w:t xml:space="preserve"> </w:t>
      </w:r>
      <w:r w:rsidRPr="003D2044">
        <w:rPr>
          <w:rFonts w:ascii="Times New Roman" w:hAnsi="Times New Roman" w:cs="Times New Roman"/>
          <w:sz w:val="28"/>
          <w:szCs w:val="28"/>
        </w:rPr>
        <w:t>рівень конкурентоспроможності;</w:t>
      </w:r>
      <w:r w:rsidR="008A4902">
        <w:rPr>
          <w:rFonts w:ascii="Times New Roman" w:hAnsi="Times New Roman" w:cs="Times New Roman"/>
          <w:sz w:val="28"/>
          <w:szCs w:val="28"/>
        </w:rPr>
        <w:t xml:space="preserve"> </w:t>
      </w:r>
      <w:r w:rsidRPr="003D2044">
        <w:rPr>
          <w:rFonts w:ascii="Times New Roman" w:hAnsi="Times New Roman" w:cs="Times New Roman"/>
          <w:sz w:val="28"/>
          <w:szCs w:val="28"/>
        </w:rPr>
        <w:t>прибуток від участі у ГЛСВ;</w:t>
      </w:r>
      <w:r w:rsidR="008A4902">
        <w:rPr>
          <w:rFonts w:ascii="Times New Roman" w:hAnsi="Times New Roman" w:cs="Times New Roman"/>
          <w:sz w:val="28"/>
          <w:szCs w:val="28"/>
        </w:rPr>
        <w:t xml:space="preserve"> </w:t>
      </w:r>
      <w:r w:rsidRPr="003D2044">
        <w:rPr>
          <w:rFonts w:ascii="Times New Roman" w:hAnsi="Times New Roman" w:cs="Times New Roman"/>
          <w:sz w:val="28"/>
          <w:szCs w:val="28"/>
        </w:rPr>
        <w:t>оцінка інвестиційного клімату</w:t>
      </w:r>
      <w:r w:rsidR="00BC012F" w:rsidRPr="00BC012F">
        <w:rPr>
          <w:rFonts w:ascii="Times New Roman" w:hAnsi="Times New Roman" w:cs="Times New Roman"/>
          <w:sz w:val="28"/>
          <w:szCs w:val="28"/>
        </w:rPr>
        <w:t xml:space="preserve"> </w:t>
      </w:r>
      <w:r w:rsidR="00BC012F" w:rsidRPr="0048435A">
        <w:rPr>
          <w:rFonts w:ascii="Times New Roman" w:hAnsi="Times New Roman" w:cs="Times New Roman"/>
          <w:sz w:val="28"/>
          <w:szCs w:val="28"/>
        </w:rPr>
        <w:t>[</w:t>
      </w:r>
      <w:r w:rsidR="00BC012F">
        <w:rPr>
          <w:rFonts w:ascii="Times New Roman" w:hAnsi="Times New Roman" w:cs="Times New Roman"/>
          <w:sz w:val="28"/>
          <w:szCs w:val="28"/>
        </w:rPr>
        <w:t>3</w:t>
      </w:r>
      <w:r w:rsidR="00BC012F" w:rsidRPr="002C54EC">
        <w:rPr>
          <w:rFonts w:ascii="Times New Roman" w:hAnsi="Times New Roman" w:cs="Times New Roman"/>
          <w:sz w:val="28"/>
          <w:szCs w:val="28"/>
        </w:rPr>
        <w:t>]</w:t>
      </w:r>
      <w:r w:rsidRPr="003D2044">
        <w:rPr>
          <w:rFonts w:ascii="Times New Roman" w:hAnsi="Times New Roman" w:cs="Times New Roman"/>
          <w:sz w:val="28"/>
          <w:szCs w:val="28"/>
        </w:rPr>
        <w:t>.</w:t>
      </w:r>
    </w:p>
    <w:p w14:paraId="72934931" w14:textId="77777777" w:rsidR="00E80090" w:rsidRPr="00E80090" w:rsidRDefault="00E80090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90">
        <w:rPr>
          <w:rFonts w:ascii="Times New Roman" w:hAnsi="Times New Roman" w:cs="Times New Roman"/>
          <w:sz w:val="28"/>
          <w:szCs w:val="28"/>
        </w:rPr>
        <w:t xml:space="preserve">Інвестиційний клімат країни – це система інвестиційних відносин та реальних дій, які формуються та реалізуються під впливом великої кількості взаємопов'язаних процесів економічного, політичного, соціально-психологічного, інноваційного, інфраструктурного, нормативно-правового, екологічного, кримінального характеру та відображає перелік привабливих регіонів, галузей економіки та сфери послуг. </w:t>
      </w:r>
    </w:p>
    <w:p w14:paraId="2E1E3667" w14:textId="7E0DC036" w:rsidR="00E80090" w:rsidRDefault="00E80090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90">
        <w:rPr>
          <w:rFonts w:ascii="Times New Roman" w:hAnsi="Times New Roman" w:cs="Times New Roman"/>
          <w:sz w:val="28"/>
          <w:szCs w:val="28"/>
        </w:rPr>
        <w:t xml:space="preserve">Ці процеси відображають: </w:t>
      </w:r>
      <w:r w:rsidRPr="00E34CAF">
        <w:rPr>
          <w:rFonts w:ascii="Times New Roman" w:hAnsi="Times New Roman" w:cs="Times New Roman"/>
          <w:sz w:val="28"/>
          <w:szCs w:val="28"/>
        </w:rPr>
        <w:t>об'єктивно існуючі можливості країни (регіону, галузі, підприємства) до інвестиційної діяльності (характеризується як інвестиційний потенціал); рівень очікуваної дохідності та проблемності інвестування в цей об'єкт (характеризується як інвестиційні ризики);</w:t>
      </w:r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Pr="00E34CAF">
        <w:rPr>
          <w:rFonts w:ascii="Times New Roman" w:hAnsi="Times New Roman" w:cs="Times New Roman"/>
          <w:sz w:val="28"/>
          <w:szCs w:val="28"/>
        </w:rPr>
        <w:t xml:space="preserve">існуючі інвестиційні процеси в країні (характеризується як інвестиційна активність). </w:t>
      </w:r>
    </w:p>
    <w:p w14:paraId="5B9CCF34" w14:textId="77777777" w:rsidR="00B149BC" w:rsidRDefault="00B149BC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BC">
        <w:rPr>
          <w:rFonts w:ascii="Times New Roman" w:hAnsi="Times New Roman" w:cs="Times New Roman"/>
          <w:sz w:val="28"/>
          <w:szCs w:val="28"/>
        </w:rPr>
        <w:t>Вважається, що сприятливе бізнес-середовище має важливе значення як для внутрішніх, так і для майбутніх інвестицій, і в цілому з точки зору сприяння економічному зростанню. Що стосується прямих інвестицій, то це підтверджується зростаючим консенсусом в економічній літературі: привабливість даної країни, як приймаючої сторони для іноземних інвесторів, визначається не лише її порівняльною перевагою в міжнародному виробництві, але й внутрішнім інвестиційним кліматом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196C1" w14:textId="755D1E92" w:rsidR="000A28D8" w:rsidRDefault="008A2957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Щодо останніх показників </w:t>
      </w:r>
      <w:r w:rsidRPr="000A28D8">
        <w:rPr>
          <w:rFonts w:ascii="Times New Roman" w:hAnsi="Times New Roman" w:cs="Times New Roman"/>
          <w:sz w:val="28"/>
          <w:szCs w:val="28"/>
        </w:rPr>
        <w:t>інвестиційної привабливості України</w:t>
      </w:r>
      <w:r w:rsidR="0078384B">
        <w:rPr>
          <w:rFonts w:ascii="Times New Roman" w:hAnsi="Times New Roman" w:cs="Times New Roman"/>
          <w:sz w:val="28"/>
          <w:szCs w:val="28"/>
        </w:rPr>
        <w:t>, у</w:t>
      </w:r>
      <w:r w:rsidR="000A28D8" w:rsidRPr="000A28D8">
        <w:rPr>
          <w:rFonts w:ascii="Times New Roman" w:hAnsi="Times New Roman" w:cs="Times New Roman"/>
          <w:sz w:val="28"/>
          <w:szCs w:val="28"/>
        </w:rPr>
        <w:t xml:space="preserve"> 2023 році інтегральний показник Індексу</w:t>
      </w:r>
      <w:r w:rsidR="00EC598D" w:rsidRPr="00EC598D">
        <w:rPr>
          <w:rFonts w:ascii="Arial" w:hAnsi="Arial" w:cs="Arial"/>
          <w:color w:val="040C28"/>
          <w:sz w:val="30"/>
          <w:szCs w:val="30"/>
        </w:rPr>
        <w:t xml:space="preserve"> </w:t>
      </w:r>
      <w:r w:rsidR="00EC598D" w:rsidRPr="00EC598D">
        <w:rPr>
          <w:rFonts w:ascii="Times New Roman" w:hAnsi="Times New Roman" w:cs="Times New Roman"/>
          <w:sz w:val="28"/>
          <w:szCs w:val="28"/>
        </w:rPr>
        <w:t>інвестиційної привабливості</w:t>
      </w:r>
      <w:r w:rsidR="000A28D8" w:rsidRPr="000A28D8">
        <w:rPr>
          <w:rFonts w:ascii="Times New Roman" w:hAnsi="Times New Roman" w:cs="Times New Roman"/>
          <w:sz w:val="28"/>
          <w:szCs w:val="28"/>
        </w:rPr>
        <w:t xml:space="preserve"> </w:t>
      </w:r>
      <w:r w:rsidR="000A28D8">
        <w:rPr>
          <w:rFonts w:ascii="Times New Roman" w:hAnsi="Times New Roman" w:cs="Times New Roman"/>
          <w:sz w:val="28"/>
          <w:szCs w:val="28"/>
        </w:rPr>
        <w:t>знизився до</w:t>
      </w:r>
      <w:r w:rsidR="000A28D8" w:rsidRPr="000A28D8">
        <w:rPr>
          <w:rFonts w:ascii="Times New Roman" w:hAnsi="Times New Roman" w:cs="Times New Roman"/>
          <w:sz w:val="28"/>
          <w:szCs w:val="28"/>
        </w:rPr>
        <w:t xml:space="preserve"> 2,44 бали з можливих 5 (порівняно з 2,48 балами у другій половині 2022 року). Ці дані представлені результатами останнього дослідження, проведеного Європейською Бізнес Асоціацією за аналітичною підтримкою від </w:t>
      </w:r>
      <w:proofErr w:type="spellStart"/>
      <w:r w:rsidR="000A28D8" w:rsidRPr="000A28D8">
        <w:rPr>
          <w:rFonts w:ascii="Times New Roman" w:hAnsi="Times New Roman" w:cs="Times New Roman"/>
          <w:sz w:val="28"/>
          <w:szCs w:val="28"/>
        </w:rPr>
        <w:t>Gradus</w:t>
      </w:r>
      <w:proofErr w:type="spellEnd"/>
      <w:r w:rsidR="000A28D8" w:rsidRPr="000A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8D8" w:rsidRPr="000A28D8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0A28D8" w:rsidRPr="000A28D8">
        <w:rPr>
          <w:rFonts w:ascii="Times New Roman" w:hAnsi="Times New Roman" w:cs="Times New Roman"/>
          <w:sz w:val="28"/>
          <w:szCs w:val="28"/>
        </w:rPr>
        <w:t>.</w:t>
      </w:r>
      <w:r w:rsidR="0078384B">
        <w:rPr>
          <w:rFonts w:ascii="Times New Roman" w:hAnsi="Times New Roman" w:cs="Times New Roman"/>
          <w:sz w:val="28"/>
          <w:szCs w:val="28"/>
        </w:rPr>
        <w:t xml:space="preserve"> </w:t>
      </w:r>
      <w:r w:rsidR="000A28D8" w:rsidRPr="000A28D8">
        <w:rPr>
          <w:rFonts w:ascii="Times New Roman" w:hAnsi="Times New Roman" w:cs="Times New Roman"/>
          <w:sz w:val="28"/>
          <w:szCs w:val="28"/>
        </w:rPr>
        <w:t>Повномасштабна військова агресія проти України продовжує лідирувати серед факторів, що негативно впливають на інвестиційний клімат. На другому і третьому місці розташувалися корупція та слабка судова система</w:t>
      </w:r>
      <w:r w:rsidR="002C54EC" w:rsidRPr="002C5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4EC" w:rsidRPr="0048435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C012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C54EC" w:rsidRPr="0048435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D2044">
        <w:rPr>
          <w:rFonts w:ascii="Times New Roman" w:hAnsi="Times New Roman" w:cs="Times New Roman"/>
          <w:sz w:val="28"/>
          <w:szCs w:val="28"/>
        </w:rPr>
        <w:t>.</w:t>
      </w:r>
    </w:p>
    <w:p w14:paraId="64781505" w14:textId="34D0A441" w:rsidR="00B149BC" w:rsidRPr="00536128" w:rsidRDefault="00B149BC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BC">
        <w:rPr>
          <w:rFonts w:ascii="Times New Roman" w:hAnsi="Times New Roman" w:cs="Times New Roman"/>
          <w:sz w:val="28"/>
          <w:szCs w:val="28"/>
        </w:rPr>
        <w:t>Більшість генеральних директорів членських компаній Європейсько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B149BC">
        <w:rPr>
          <w:rFonts w:ascii="Times New Roman" w:hAnsi="Times New Roman" w:cs="Times New Roman"/>
          <w:sz w:val="28"/>
          <w:szCs w:val="28"/>
        </w:rPr>
        <w:t xml:space="preserve"> Бізнес Асоціаці</w:t>
      </w:r>
      <w:r>
        <w:rPr>
          <w:rFonts w:ascii="Times New Roman" w:hAnsi="Times New Roman" w:cs="Times New Roman"/>
          <w:sz w:val="28"/>
          <w:szCs w:val="28"/>
        </w:rPr>
        <w:t xml:space="preserve">ї вважають </w:t>
      </w:r>
      <w:r w:rsidRPr="00B149BC">
        <w:rPr>
          <w:rFonts w:ascii="Times New Roman" w:hAnsi="Times New Roman" w:cs="Times New Roman"/>
          <w:sz w:val="28"/>
          <w:szCs w:val="28"/>
        </w:rPr>
        <w:t>аби поліпшити інвестиційний клімат в Україні</w:t>
      </w:r>
      <w:r>
        <w:rPr>
          <w:rFonts w:ascii="Times New Roman" w:hAnsi="Times New Roman" w:cs="Times New Roman"/>
          <w:sz w:val="28"/>
          <w:szCs w:val="28"/>
        </w:rPr>
        <w:t xml:space="preserve"> необхідно</w:t>
      </w:r>
      <w:r w:rsidR="00536128">
        <w:rPr>
          <w:rFonts w:ascii="Times New Roman" w:hAnsi="Times New Roman" w:cs="Times New Roman"/>
          <w:sz w:val="28"/>
          <w:szCs w:val="28"/>
        </w:rPr>
        <w:t xml:space="preserve">: </w:t>
      </w:r>
      <w:r w:rsidRPr="00536128">
        <w:rPr>
          <w:rFonts w:ascii="Times New Roman" w:hAnsi="Times New Roman" w:cs="Times New Roman"/>
          <w:sz w:val="28"/>
          <w:szCs w:val="28"/>
        </w:rPr>
        <w:t>перезавантаження судової системи;</w:t>
      </w:r>
      <w:r w:rsidR="00E74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128">
        <w:rPr>
          <w:rFonts w:ascii="Times New Roman" w:hAnsi="Times New Roman" w:cs="Times New Roman"/>
          <w:sz w:val="28"/>
          <w:szCs w:val="28"/>
        </w:rPr>
        <w:t>деолігархізація</w:t>
      </w:r>
      <w:proofErr w:type="spellEnd"/>
      <w:r w:rsidRPr="00536128">
        <w:rPr>
          <w:rFonts w:ascii="Times New Roman" w:hAnsi="Times New Roman" w:cs="Times New Roman"/>
          <w:sz w:val="28"/>
          <w:szCs w:val="28"/>
        </w:rPr>
        <w:t xml:space="preserve"> влади;</w:t>
      </w:r>
      <w:r w:rsidR="00E74860">
        <w:rPr>
          <w:rFonts w:ascii="Times New Roman" w:hAnsi="Times New Roman" w:cs="Times New Roman"/>
          <w:sz w:val="28"/>
          <w:szCs w:val="28"/>
        </w:rPr>
        <w:t xml:space="preserve"> </w:t>
      </w:r>
      <w:r w:rsidRPr="00536128">
        <w:rPr>
          <w:rFonts w:ascii="Times New Roman" w:hAnsi="Times New Roman" w:cs="Times New Roman"/>
          <w:sz w:val="28"/>
          <w:szCs w:val="28"/>
        </w:rPr>
        <w:t>розбудова ефективної та незалежної антикорупційної інфраструктури;</w:t>
      </w:r>
      <w:r w:rsidR="00E74860">
        <w:rPr>
          <w:rFonts w:ascii="Times New Roman" w:hAnsi="Times New Roman" w:cs="Times New Roman"/>
          <w:sz w:val="28"/>
          <w:szCs w:val="28"/>
        </w:rPr>
        <w:t xml:space="preserve"> </w:t>
      </w:r>
      <w:r w:rsidRPr="00536128">
        <w:rPr>
          <w:rFonts w:ascii="Times New Roman" w:hAnsi="Times New Roman" w:cs="Times New Roman"/>
          <w:sz w:val="28"/>
          <w:szCs w:val="28"/>
        </w:rPr>
        <w:t>позбавлення від бюрократії;</w:t>
      </w:r>
      <w:r w:rsidR="00E74860">
        <w:rPr>
          <w:rFonts w:ascii="Times New Roman" w:hAnsi="Times New Roman" w:cs="Times New Roman"/>
          <w:sz w:val="28"/>
          <w:szCs w:val="28"/>
        </w:rPr>
        <w:t xml:space="preserve"> </w:t>
      </w:r>
      <w:r w:rsidRPr="00536128">
        <w:rPr>
          <w:rFonts w:ascii="Times New Roman" w:hAnsi="Times New Roman" w:cs="Times New Roman"/>
          <w:sz w:val="28"/>
          <w:szCs w:val="28"/>
        </w:rPr>
        <w:t>зниження адміністративного та податкового тиску на бізнес</w:t>
      </w:r>
      <w:r w:rsidR="00536128">
        <w:rPr>
          <w:rFonts w:ascii="Times New Roman" w:hAnsi="Times New Roman" w:cs="Times New Roman"/>
          <w:sz w:val="28"/>
          <w:szCs w:val="28"/>
        </w:rPr>
        <w:t>;</w:t>
      </w:r>
      <w:r w:rsidR="00E74860">
        <w:rPr>
          <w:rFonts w:ascii="Times New Roman" w:hAnsi="Times New Roman" w:cs="Times New Roman"/>
          <w:sz w:val="28"/>
          <w:szCs w:val="28"/>
        </w:rPr>
        <w:t xml:space="preserve"> </w:t>
      </w:r>
      <w:r w:rsidRPr="00536128">
        <w:rPr>
          <w:rFonts w:ascii="Times New Roman" w:hAnsi="Times New Roman" w:cs="Times New Roman"/>
          <w:sz w:val="28"/>
          <w:szCs w:val="28"/>
        </w:rPr>
        <w:t>відновлення та підтримка співпраці з міжнародними фінансовими інституціями</w:t>
      </w:r>
      <w:r w:rsidR="00536128" w:rsidRPr="00536128">
        <w:rPr>
          <w:rFonts w:ascii="Times New Roman" w:hAnsi="Times New Roman" w:cs="Times New Roman"/>
          <w:sz w:val="28"/>
          <w:szCs w:val="28"/>
        </w:rPr>
        <w:t>;</w:t>
      </w:r>
      <w:r w:rsidR="00E74860">
        <w:rPr>
          <w:rFonts w:ascii="Times New Roman" w:hAnsi="Times New Roman" w:cs="Times New Roman"/>
          <w:sz w:val="28"/>
          <w:szCs w:val="28"/>
        </w:rPr>
        <w:t xml:space="preserve"> </w:t>
      </w:r>
      <w:r w:rsidRPr="00536128">
        <w:rPr>
          <w:rFonts w:ascii="Times New Roman" w:hAnsi="Times New Roman" w:cs="Times New Roman"/>
          <w:sz w:val="28"/>
          <w:szCs w:val="28"/>
        </w:rPr>
        <w:t>реформа правоохоронних органів та результативна боротьба з контрабандою</w:t>
      </w:r>
      <w:r w:rsidR="0048435A" w:rsidRPr="00E74860">
        <w:rPr>
          <w:rFonts w:ascii="Times New Roman" w:hAnsi="Times New Roman" w:cs="Times New Roman"/>
          <w:sz w:val="28"/>
          <w:szCs w:val="28"/>
        </w:rPr>
        <w:t xml:space="preserve"> </w:t>
      </w:r>
      <w:r w:rsidR="0048435A" w:rsidRPr="0048435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C012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8435A" w:rsidRPr="0048435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536128">
        <w:rPr>
          <w:rFonts w:ascii="Times New Roman" w:hAnsi="Times New Roman" w:cs="Times New Roman"/>
          <w:sz w:val="28"/>
          <w:szCs w:val="28"/>
        </w:rPr>
        <w:t>.</w:t>
      </w:r>
    </w:p>
    <w:p w14:paraId="325E36E7" w14:textId="77777777" w:rsidR="00D611F2" w:rsidRDefault="00EC598D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Багато </w:t>
      </w:r>
      <w:r w:rsidR="00536128">
        <w:rPr>
          <w:rFonts w:ascii="Times New Roman" w:hAnsi="Times New Roman" w:cs="Times New Roman"/>
          <w:sz w:val="28"/>
          <w:szCs w:val="28"/>
        </w:rPr>
        <w:t>з цих реформ було розпочато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598D">
        <w:rPr>
          <w:rFonts w:ascii="Times New Roman" w:hAnsi="Times New Roman" w:cs="Times New Roman"/>
          <w:sz w:val="28"/>
          <w:szCs w:val="28"/>
        </w:rPr>
        <w:t>схвал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EC598D">
        <w:rPr>
          <w:rFonts w:ascii="Times New Roman" w:hAnsi="Times New Roman" w:cs="Times New Roman"/>
          <w:sz w:val="28"/>
          <w:szCs w:val="28"/>
        </w:rPr>
        <w:t xml:space="preserve"> нову редакцію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C598D">
        <w:rPr>
          <w:rFonts w:ascii="Times New Roman" w:hAnsi="Times New Roman" w:cs="Times New Roman"/>
          <w:sz w:val="28"/>
          <w:szCs w:val="28"/>
        </w:rPr>
        <w:t>акону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C5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EC598D">
        <w:rPr>
          <w:rFonts w:ascii="Times New Roman" w:hAnsi="Times New Roman" w:cs="Times New Roman"/>
          <w:sz w:val="28"/>
          <w:szCs w:val="28"/>
        </w:rPr>
        <w:t>ро судоустрій та статус суддів</w:t>
      </w:r>
      <w:r>
        <w:rPr>
          <w:rFonts w:ascii="Times New Roman" w:hAnsi="Times New Roman" w:cs="Times New Roman"/>
          <w:sz w:val="28"/>
          <w:szCs w:val="28"/>
        </w:rPr>
        <w:t xml:space="preserve">», щодо </w:t>
      </w:r>
      <w:r w:rsidRPr="00EC598D">
        <w:rPr>
          <w:rFonts w:ascii="Times New Roman" w:hAnsi="Times New Roman" w:cs="Times New Roman"/>
          <w:sz w:val="28"/>
          <w:szCs w:val="28"/>
        </w:rPr>
        <w:t>масштабн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598D">
        <w:rPr>
          <w:rFonts w:ascii="Times New Roman" w:hAnsi="Times New Roman" w:cs="Times New Roman"/>
          <w:sz w:val="28"/>
          <w:szCs w:val="28"/>
        </w:rPr>
        <w:t xml:space="preserve"> перезавантаження судової системи</w:t>
      </w:r>
      <w:r>
        <w:rPr>
          <w:rFonts w:ascii="Times New Roman" w:hAnsi="Times New Roman" w:cs="Times New Roman"/>
          <w:sz w:val="28"/>
          <w:szCs w:val="28"/>
        </w:rPr>
        <w:t xml:space="preserve">, до якого періодично вносяться зміни; </w:t>
      </w:r>
      <w:r w:rsidR="00EE0A52">
        <w:rPr>
          <w:rFonts w:ascii="Times New Roman" w:hAnsi="Times New Roman" w:cs="Times New Roman"/>
          <w:sz w:val="28"/>
          <w:szCs w:val="28"/>
        </w:rPr>
        <w:t xml:space="preserve">прийнято </w:t>
      </w:r>
      <w:r w:rsidR="00EE0A52" w:rsidRPr="00EE0A52">
        <w:rPr>
          <w:rFonts w:ascii="Times New Roman" w:hAnsi="Times New Roman" w:cs="Times New Roman"/>
          <w:sz w:val="28"/>
          <w:szCs w:val="28"/>
        </w:rPr>
        <w:t xml:space="preserve">Закон про </w:t>
      </w:r>
      <w:proofErr w:type="spellStart"/>
      <w:r w:rsidR="00EE0A52" w:rsidRPr="00EE0A52">
        <w:rPr>
          <w:rFonts w:ascii="Times New Roman" w:hAnsi="Times New Roman" w:cs="Times New Roman"/>
          <w:sz w:val="28"/>
          <w:szCs w:val="28"/>
        </w:rPr>
        <w:t>деолігархізацію</w:t>
      </w:r>
      <w:proofErr w:type="spellEnd"/>
      <w:r w:rsidR="00EE0A52">
        <w:rPr>
          <w:rFonts w:ascii="Times New Roman" w:hAnsi="Times New Roman" w:cs="Times New Roman"/>
          <w:sz w:val="28"/>
          <w:szCs w:val="28"/>
        </w:rPr>
        <w:t xml:space="preserve">; </w:t>
      </w:r>
      <w:r w:rsidR="00EE0A52" w:rsidRPr="00EE0A52">
        <w:rPr>
          <w:rFonts w:ascii="Times New Roman" w:hAnsi="Times New Roman" w:cs="Times New Roman"/>
          <w:sz w:val="28"/>
          <w:szCs w:val="28"/>
        </w:rPr>
        <w:t>з</w:t>
      </w:r>
      <w:r w:rsidR="00EE0A52" w:rsidRPr="00EE0A52">
        <w:rPr>
          <w:rFonts w:ascii="Times New Roman" w:hAnsi="Times New Roman" w:cs="Times New Roman"/>
          <w:sz w:val="28"/>
          <w:szCs w:val="28"/>
        </w:rPr>
        <w:t>атверд</w:t>
      </w:r>
      <w:r w:rsidR="00EE0A52" w:rsidRPr="00EE0A52">
        <w:rPr>
          <w:rFonts w:ascii="Times New Roman" w:hAnsi="Times New Roman" w:cs="Times New Roman"/>
          <w:sz w:val="28"/>
          <w:szCs w:val="28"/>
        </w:rPr>
        <w:t>жено</w:t>
      </w:r>
      <w:r w:rsidR="00EE0A52" w:rsidRPr="00EE0A52">
        <w:rPr>
          <w:rFonts w:ascii="Times New Roman" w:hAnsi="Times New Roman" w:cs="Times New Roman"/>
          <w:sz w:val="28"/>
          <w:szCs w:val="28"/>
        </w:rPr>
        <w:t> </w:t>
      </w:r>
      <w:hyperlink r:id="rId6" w:anchor="n93" w:history="1">
        <w:r w:rsidR="00EE0A52" w:rsidRPr="00EE0A5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Антикорупційну стратегію на 2021-2025 роки</w:t>
        </w:r>
      </w:hyperlink>
      <w:r w:rsidR="00EE0A52">
        <w:rPr>
          <w:rFonts w:ascii="Times New Roman" w:hAnsi="Times New Roman" w:cs="Times New Roman"/>
          <w:sz w:val="28"/>
          <w:szCs w:val="28"/>
        </w:rPr>
        <w:t>; прийнятий З</w:t>
      </w:r>
      <w:r w:rsidR="00EE0A52" w:rsidRPr="00EE0A52">
        <w:rPr>
          <w:rFonts w:ascii="Times New Roman" w:hAnsi="Times New Roman" w:cs="Times New Roman"/>
          <w:sz w:val="28"/>
          <w:szCs w:val="28"/>
        </w:rPr>
        <w:t>акон щодо зменшення тиску на бізнес з боку органів ринкового нагляду</w:t>
      </w:r>
      <w:r w:rsidR="00EE0A52">
        <w:rPr>
          <w:rFonts w:ascii="Times New Roman" w:hAnsi="Times New Roman" w:cs="Times New Roman"/>
          <w:sz w:val="28"/>
          <w:szCs w:val="28"/>
        </w:rPr>
        <w:t>; проводиться реформа правоохоронних та контролюючих органів</w:t>
      </w:r>
      <w:r w:rsidR="00D611F2">
        <w:rPr>
          <w:rFonts w:ascii="Times New Roman" w:hAnsi="Times New Roman" w:cs="Times New Roman"/>
          <w:sz w:val="28"/>
          <w:szCs w:val="28"/>
        </w:rPr>
        <w:t>, наразі розпочато реформу митниці.</w:t>
      </w:r>
    </w:p>
    <w:p w14:paraId="52620FE6" w14:textId="2EE8185A" w:rsidR="00082AA9" w:rsidRPr="000653CD" w:rsidRDefault="00536128" w:rsidP="00E7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1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ажливим є продовження провадження і удосконалення</w:t>
      </w:r>
      <w:r w:rsidR="00D611F2">
        <w:rPr>
          <w:rFonts w:ascii="Times New Roman" w:hAnsi="Times New Roman" w:cs="Times New Roman"/>
          <w:sz w:val="28"/>
          <w:szCs w:val="28"/>
        </w:rPr>
        <w:t xml:space="preserve"> розпочатих реформ, метою яких поліпшення інвестиційного клімату, як ключового фактору</w:t>
      </w:r>
      <w:r w:rsidR="008A4902">
        <w:rPr>
          <w:rFonts w:ascii="Times New Roman" w:hAnsi="Times New Roman" w:cs="Times New Roman"/>
          <w:sz w:val="28"/>
          <w:szCs w:val="28"/>
        </w:rPr>
        <w:t xml:space="preserve"> інтеграції Україн</w:t>
      </w:r>
      <w:r w:rsidR="00D611F2">
        <w:rPr>
          <w:rFonts w:ascii="Times New Roman" w:hAnsi="Times New Roman" w:cs="Times New Roman"/>
          <w:sz w:val="28"/>
          <w:szCs w:val="28"/>
        </w:rPr>
        <w:t>ського бізнесу</w:t>
      </w:r>
      <w:r w:rsidR="008A4902">
        <w:rPr>
          <w:rFonts w:ascii="Times New Roman" w:hAnsi="Times New Roman" w:cs="Times New Roman"/>
          <w:sz w:val="28"/>
          <w:szCs w:val="28"/>
        </w:rPr>
        <w:t xml:space="preserve"> </w:t>
      </w:r>
      <w:r w:rsidR="00D611F2">
        <w:rPr>
          <w:rFonts w:ascii="Times New Roman" w:hAnsi="Times New Roman" w:cs="Times New Roman"/>
          <w:sz w:val="28"/>
          <w:szCs w:val="28"/>
        </w:rPr>
        <w:t xml:space="preserve">до </w:t>
      </w:r>
      <w:r w:rsidR="008A4902">
        <w:rPr>
          <w:rFonts w:ascii="Times New Roman" w:hAnsi="Times New Roman" w:cs="Times New Roman"/>
          <w:sz w:val="28"/>
          <w:szCs w:val="28"/>
        </w:rPr>
        <w:t>ГЛСВ.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A704C9" w14:textId="77777777" w:rsidR="0082754E" w:rsidRDefault="0082754E" w:rsidP="00E748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9B479" w14:textId="41FC35C1" w:rsidR="00DE2D27" w:rsidRPr="007E765E" w:rsidRDefault="00DE2D27" w:rsidP="00E748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638430B0" w14:textId="28C4F1F0" w:rsidR="00434570" w:rsidRDefault="00434570" w:rsidP="00E74860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eastAsiaTheme="minorHAnsi"/>
          <w:iCs/>
          <w:sz w:val="28"/>
          <w:szCs w:val="28"/>
          <w:lang w:val="uk-UA" w:eastAsia="en-US"/>
        </w:rPr>
      </w:pPr>
      <w:r w:rsidRPr="00434570">
        <w:rPr>
          <w:rFonts w:eastAsiaTheme="minorHAnsi"/>
          <w:iCs/>
          <w:sz w:val="28"/>
          <w:szCs w:val="28"/>
          <w:lang w:val="uk-UA" w:eastAsia="en-US"/>
        </w:rPr>
        <w:t>S</w:t>
      </w:r>
      <w:r>
        <w:rPr>
          <w:rFonts w:eastAsiaTheme="minorHAnsi"/>
          <w:iCs/>
          <w:sz w:val="28"/>
          <w:szCs w:val="28"/>
          <w:lang w:val="uk-UA" w:eastAsia="en-US"/>
        </w:rPr>
        <w:t>.</w:t>
      </w:r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Comotti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>, R</w:t>
      </w:r>
      <w:r>
        <w:rPr>
          <w:rFonts w:eastAsiaTheme="minorHAnsi"/>
          <w:iCs/>
          <w:sz w:val="28"/>
          <w:szCs w:val="28"/>
          <w:lang w:val="uk-UA" w:eastAsia="en-US"/>
        </w:rPr>
        <w:t>.</w:t>
      </w:r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Crescenzi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>, S</w:t>
      </w:r>
      <w:r>
        <w:rPr>
          <w:rFonts w:eastAsiaTheme="minorHAnsi"/>
          <w:iCs/>
          <w:sz w:val="28"/>
          <w:szCs w:val="28"/>
          <w:lang w:val="uk-UA" w:eastAsia="en-US"/>
        </w:rPr>
        <w:t>.</w:t>
      </w:r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Iammarino</w:t>
      </w:r>
      <w:proofErr w:type="spellEnd"/>
      <w:r>
        <w:rPr>
          <w:rFonts w:eastAsiaTheme="minorHAnsi"/>
          <w:iCs/>
          <w:sz w:val="28"/>
          <w:szCs w:val="28"/>
          <w:lang w:val="uk-UA" w:eastAsia="en-US"/>
        </w:rPr>
        <w:t xml:space="preserve">,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Foreign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direct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investment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,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global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value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chains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and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regional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economic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development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in</w:t>
      </w:r>
      <w:proofErr w:type="spellEnd"/>
      <w:r w:rsidRPr="0043457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Europe</w:t>
      </w:r>
      <w:proofErr w:type="spellEnd"/>
      <w:r>
        <w:rPr>
          <w:rFonts w:eastAsiaTheme="minorHAnsi"/>
          <w:iCs/>
          <w:sz w:val="28"/>
          <w:szCs w:val="28"/>
          <w:lang w:val="uk-UA" w:eastAsia="en-US"/>
        </w:rPr>
        <w:t xml:space="preserve">, </w:t>
      </w:r>
      <w:proofErr w:type="spellStart"/>
      <w:r w:rsidRPr="00434570">
        <w:rPr>
          <w:rFonts w:eastAsiaTheme="minorHAnsi"/>
          <w:iCs/>
          <w:sz w:val="28"/>
          <w:szCs w:val="28"/>
          <w:lang w:val="uk-UA" w:eastAsia="en-US"/>
        </w:rPr>
        <w:t>Report</w:t>
      </w:r>
      <w:proofErr w:type="spellEnd"/>
      <w:r>
        <w:rPr>
          <w:rFonts w:eastAsiaTheme="minorHAnsi"/>
          <w:iCs/>
          <w:sz w:val="28"/>
          <w:szCs w:val="28"/>
          <w:lang w:val="uk-UA" w:eastAsia="en-US"/>
        </w:rPr>
        <w:t xml:space="preserve">, 2020, </w:t>
      </w:r>
      <w:r w:rsidRPr="00C42F54">
        <w:rPr>
          <w:rFonts w:eastAsiaTheme="minorHAnsi"/>
          <w:iCs/>
          <w:sz w:val="28"/>
          <w:szCs w:val="28"/>
          <w:lang w:val="uk-UA" w:eastAsia="en-US"/>
        </w:rPr>
        <w:t>URL:</w:t>
      </w:r>
      <w:r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r w:rsidRPr="00BC012F">
        <w:rPr>
          <w:rFonts w:eastAsiaTheme="minorHAnsi"/>
          <w:iCs/>
          <w:sz w:val="28"/>
          <w:szCs w:val="28"/>
          <w:lang w:val="en-US" w:eastAsia="en-US"/>
        </w:rPr>
        <w:t>h</w:t>
      </w:r>
      <w:r w:rsidRPr="00434570">
        <w:rPr>
          <w:rFonts w:eastAsiaTheme="minorHAnsi"/>
          <w:iCs/>
          <w:sz w:val="28"/>
          <w:szCs w:val="28"/>
          <w:lang w:val="uk-UA" w:eastAsia="en-US"/>
        </w:rPr>
        <w:t>ttps://ec.europa.eu/regional_policy/en/information/publications/reports/2020/foreign-direct-investment-global-value-chains-and-regional-economic-development-in-europe</w:t>
      </w:r>
      <w:r>
        <w:rPr>
          <w:rFonts w:eastAsiaTheme="minorHAnsi"/>
          <w:iCs/>
          <w:sz w:val="28"/>
          <w:szCs w:val="28"/>
          <w:lang w:val="uk-UA" w:eastAsia="en-US"/>
        </w:rPr>
        <w:t>.</w:t>
      </w:r>
    </w:p>
    <w:p w14:paraId="327B6EDE" w14:textId="2202E8DD" w:rsidR="00BC012F" w:rsidRDefault="00BC012F" w:rsidP="00E74860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eastAsiaTheme="minorHAnsi"/>
          <w:iCs/>
          <w:sz w:val="28"/>
          <w:szCs w:val="28"/>
          <w:lang w:val="uk-UA" w:eastAsia="en-US"/>
        </w:rPr>
      </w:pPr>
      <w:r w:rsidRPr="00BC012F">
        <w:rPr>
          <w:rFonts w:eastAsiaTheme="minorHAnsi"/>
          <w:iCs/>
          <w:sz w:val="28"/>
          <w:szCs w:val="28"/>
          <w:lang w:val="uk-UA" w:eastAsia="en-US"/>
        </w:rPr>
        <w:t>UNCTAD</w:t>
      </w:r>
      <w:r>
        <w:rPr>
          <w:rFonts w:eastAsiaTheme="minorHAnsi"/>
          <w:iCs/>
          <w:sz w:val="28"/>
          <w:szCs w:val="28"/>
          <w:lang w:val="uk-UA" w:eastAsia="en-US"/>
        </w:rPr>
        <w:t xml:space="preserve">, </w:t>
      </w:r>
      <w:r w:rsidRPr="00BC012F">
        <w:rPr>
          <w:rFonts w:eastAsiaTheme="minorHAnsi"/>
          <w:iCs/>
          <w:sz w:val="28"/>
          <w:szCs w:val="28"/>
          <w:lang w:val="en-US" w:eastAsia="en-US"/>
        </w:rPr>
        <w:t>World Investment Report 2024</w:t>
      </w:r>
      <w:r>
        <w:rPr>
          <w:rFonts w:eastAsiaTheme="minorHAnsi"/>
          <w:iCs/>
          <w:sz w:val="28"/>
          <w:szCs w:val="28"/>
          <w:lang w:val="uk-UA" w:eastAsia="en-US"/>
        </w:rPr>
        <w:t xml:space="preserve">, </w:t>
      </w:r>
      <w:r w:rsidRPr="00C42F54">
        <w:rPr>
          <w:rFonts w:eastAsiaTheme="minorHAnsi"/>
          <w:iCs/>
          <w:sz w:val="28"/>
          <w:szCs w:val="28"/>
          <w:lang w:val="uk-UA" w:eastAsia="en-US"/>
        </w:rPr>
        <w:t>URL:</w:t>
      </w:r>
      <w:r w:rsidR="00E74860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r w:rsidRPr="00BC012F">
        <w:rPr>
          <w:rFonts w:eastAsiaTheme="minorHAnsi"/>
          <w:iCs/>
          <w:sz w:val="28"/>
          <w:szCs w:val="28"/>
          <w:lang w:val="en-US" w:eastAsia="en-US"/>
        </w:rPr>
        <w:t>h</w:t>
      </w:r>
      <w:r w:rsidRPr="00BC012F">
        <w:rPr>
          <w:rFonts w:eastAsiaTheme="minorHAnsi"/>
          <w:iCs/>
          <w:sz w:val="28"/>
          <w:szCs w:val="28"/>
          <w:lang w:val="uk-UA" w:eastAsia="en-US"/>
        </w:rPr>
        <w:t>ttps://</w:t>
      </w:r>
      <w:r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r w:rsidRPr="00BC012F">
        <w:rPr>
          <w:rFonts w:eastAsiaTheme="minorHAnsi"/>
          <w:iCs/>
          <w:sz w:val="28"/>
          <w:szCs w:val="28"/>
          <w:lang w:val="uk-UA" w:eastAsia="en-US"/>
        </w:rPr>
        <w:t>unctad.org/</w:t>
      </w:r>
      <w:proofErr w:type="spellStart"/>
      <w:r w:rsidRPr="00BC012F">
        <w:rPr>
          <w:rFonts w:eastAsiaTheme="minorHAnsi"/>
          <w:iCs/>
          <w:sz w:val="28"/>
          <w:szCs w:val="28"/>
          <w:lang w:val="uk-UA" w:eastAsia="en-US"/>
        </w:rPr>
        <w:t>topic</w:t>
      </w:r>
      <w:proofErr w:type="spellEnd"/>
      <w:r w:rsidRPr="00BC012F">
        <w:rPr>
          <w:rFonts w:eastAsiaTheme="minorHAnsi"/>
          <w:iCs/>
          <w:sz w:val="28"/>
          <w:szCs w:val="28"/>
          <w:lang w:val="uk-UA" w:eastAsia="en-US"/>
        </w:rPr>
        <w:t>/</w:t>
      </w:r>
      <w:proofErr w:type="spellStart"/>
      <w:r w:rsidRPr="00BC012F">
        <w:rPr>
          <w:rFonts w:eastAsiaTheme="minorHAnsi"/>
          <w:iCs/>
          <w:sz w:val="28"/>
          <w:szCs w:val="28"/>
          <w:lang w:val="uk-UA" w:eastAsia="en-US"/>
        </w:rPr>
        <w:t>investment</w:t>
      </w:r>
      <w:proofErr w:type="spellEnd"/>
      <w:r w:rsidRPr="00BC012F">
        <w:rPr>
          <w:rFonts w:eastAsiaTheme="minorHAnsi"/>
          <w:iCs/>
          <w:sz w:val="28"/>
          <w:szCs w:val="28"/>
          <w:lang w:val="uk-UA" w:eastAsia="en-US"/>
        </w:rPr>
        <w:t>/</w:t>
      </w:r>
      <w:proofErr w:type="spellStart"/>
      <w:r w:rsidRPr="00BC012F">
        <w:rPr>
          <w:rFonts w:eastAsiaTheme="minorHAnsi"/>
          <w:iCs/>
          <w:sz w:val="28"/>
          <w:szCs w:val="28"/>
          <w:lang w:val="uk-UA" w:eastAsia="en-US"/>
        </w:rPr>
        <w:t>investment-statistics-and-trends</w:t>
      </w:r>
      <w:proofErr w:type="spellEnd"/>
      <w:r w:rsidRPr="00BC012F">
        <w:rPr>
          <w:rFonts w:eastAsiaTheme="minorHAnsi"/>
          <w:iCs/>
          <w:sz w:val="28"/>
          <w:szCs w:val="28"/>
          <w:lang w:val="uk-UA" w:eastAsia="en-US"/>
        </w:rPr>
        <w:t>.</w:t>
      </w:r>
    </w:p>
    <w:p w14:paraId="63556ACE" w14:textId="55ECAF31" w:rsidR="009B06CC" w:rsidRDefault="009B06CC" w:rsidP="00E74860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Theme="minorHAnsi"/>
          <w:iCs/>
          <w:sz w:val="28"/>
          <w:szCs w:val="28"/>
          <w:lang w:val="uk-UA"/>
        </w:rPr>
      </w:pPr>
      <w:r w:rsidRPr="008103DE">
        <w:rPr>
          <w:rFonts w:eastAsiaTheme="minorHAnsi"/>
          <w:iCs/>
          <w:sz w:val="28"/>
          <w:szCs w:val="28"/>
          <w:lang w:val="en-US" w:eastAsia="en-US"/>
        </w:rPr>
        <w:t>N</w:t>
      </w:r>
      <w:r>
        <w:rPr>
          <w:rFonts w:eastAsiaTheme="minorHAnsi"/>
          <w:iCs/>
          <w:sz w:val="28"/>
          <w:szCs w:val="28"/>
          <w:lang w:val="uk-UA" w:eastAsia="en-US"/>
        </w:rPr>
        <w:t>.</w:t>
      </w:r>
      <w:r w:rsidRPr="008103DE">
        <w:rPr>
          <w:rFonts w:eastAsiaTheme="minorHAnsi"/>
          <w:iCs/>
          <w:sz w:val="28"/>
          <w:szCs w:val="28"/>
          <w:lang w:val="en-US" w:eastAsia="en-US"/>
        </w:rPr>
        <w:t> Bayraktar</w:t>
      </w:r>
      <w:r>
        <w:rPr>
          <w:rFonts w:eastAsiaTheme="minorHAnsi"/>
          <w:iCs/>
          <w:sz w:val="28"/>
          <w:szCs w:val="28"/>
          <w:lang w:val="uk-UA" w:eastAsia="en-US"/>
        </w:rPr>
        <w:t xml:space="preserve">, </w:t>
      </w:r>
      <w:proofErr w:type="spellStart"/>
      <w:r w:rsidRPr="008103DE">
        <w:rPr>
          <w:rFonts w:eastAsiaTheme="minorHAnsi"/>
          <w:iCs/>
          <w:sz w:val="28"/>
          <w:szCs w:val="28"/>
          <w:lang w:val="uk-UA"/>
        </w:rPr>
        <w:t>Foreign</w:t>
      </w:r>
      <w:proofErr w:type="spellEnd"/>
      <w:r w:rsidRPr="008103DE">
        <w:rPr>
          <w:rFonts w:eastAsiaTheme="minorHAnsi"/>
          <w:iCs/>
          <w:sz w:val="28"/>
          <w:szCs w:val="28"/>
          <w:lang w:val="uk-UA"/>
        </w:rPr>
        <w:t xml:space="preserve"> </w:t>
      </w:r>
      <w:proofErr w:type="spellStart"/>
      <w:r w:rsidRPr="008103DE">
        <w:rPr>
          <w:rFonts w:eastAsiaTheme="minorHAnsi"/>
          <w:iCs/>
          <w:sz w:val="28"/>
          <w:szCs w:val="28"/>
          <w:lang w:val="uk-UA"/>
        </w:rPr>
        <w:t>Direct</w:t>
      </w:r>
      <w:proofErr w:type="spellEnd"/>
      <w:r w:rsidRPr="008103DE">
        <w:rPr>
          <w:rFonts w:eastAsiaTheme="minorHAnsi"/>
          <w:iCs/>
          <w:sz w:val="28"/>
          <w:szCs w:val="28"/>
          <w:lang w:val="uk-UA"/>
        </w:rPr>
        <w:t xml:space="preserve"> </w:t>
      </w:r>
      <w:proofErr w:type="spellStart"/>
      <w:r w:rsidRPr="008103DE">
        <w:rPr>
          <w:rFonts w:eastAsiaTheme="minorHAnsi"/>
          <w:iCs/>
          <w:sz w:val="28"/>
          <w:szCs w:val="28"/>
          <w:lang w:val="uk-UA"/>
        </w:rPr>
        <w:t>Investment</w:t>
      </w:r>
      <w:proofErr w:type="spellEnd"/>
      <w:r w:rsidRPr="008103DE">
        <w:rPr>
          <w:rFonts w:eastAsiaTheme="minorHAnsi"/>
          <w:iCs/>
          <w:sz w:val="28"/>
          <w:szCs w:val="28"/>
          <w:lang w:val="uk-UA"/>
        </w:rPr>
        <w:t xml:space="preserve"> </w:t>
      </w:r>
      <w:proofErr w:type="spellStart"/>
      <w:r w:rsidRPr="008103DE">
        <w:rPr>
          <w:rFonts w:eastAsiaTheme="minorHAnsi"/>
          <w:iCs/>
          <w:sz w:val="28"/>
          <w:szCs w:val="28"/>
          <w:lang w:val="uk-UA"/>
        </w:rPr>
        <w:t>and</w:t>
      </w:r>
      <w:proofErr w:type="spellEnd"/>
      <w:r w:rsidRPr="008103DE">
        <w:rPr>
          <w:rFonts w:eastAsiaTheme="minorHAnsi"/>
          <w:iCs/>
          <w:sz w:val="28"/>
          <w:szCs w:val="28"/>
          <w:lang w:val="uk-UA"/>
        </w:rPr>
        <w:t xml:space="preserve"> </w:t>
      </w:r>
      <w:proofErr w:type="spellStart"/>
      <w:r w:rsidRPr="008103DE">
        <w:rPr>
          <w:rFonts w:eastAsiaTheme="minorHAnsi"/>
          <w:iCs/>
          <w:sz w:val="28"/>
          <w:szCs w:val="28"/>
          <w:lang w:val="uk-UA"/>
        </w:rPr>
        <w:t>Investment</w:t>
      </w:r>
      <w:proofErr w:type="spellEnd"/>
      <w:r w:rsidRPr="008103DE">
        <w:rPr>
          <w:rFonts w:eastAsiaTheme="minorHAnsi"/>
          <w:iCs/>
          <w:sz w:val="28"/>
          <w:szCs w:val="28"/>
          <w:lang w:val="uk-UA"/>
        </w:rPr>
        <w:t xml:space="preserve"> </w:t>
      </w:r>
      <w:proofErr w:type="spellStart"/>
      <w:r w:rsidRPr="008103DE">
        <w:rPr>
          <w:rFonts w:eastAsiaTheme="minorHAnsi"/>
          <w:iCs/>
          <w:sz w:val="28"/>
          <w:szCs w:val="28"/>
          <w:lang w:val="uk-UA"/>
        </w:rPr>
        <w:t>Climate</w:t>
      </w:r>
      <w:proofErr w:type="spellEnd"/>
      <w:r>
        <w:rPr>
          <w:rFonts w:eastAsiaTheme="minorHAnsi"/>
          <w:iCs/>
          <w:sz w:val="28"/>
          <w:szCs w:val="28"/>
          <w:lang w:val="uk-UA"/>
        </w:rPr>
        <w:t xml:space="preserve">, </w:t>
      </w:r>
      <w:hyperlink r:id="rId7" w:tooltip="Go to Procedia Economics and Finance on ScienceDirect" w:history="1">
        <w:r w:rsidRPr="008103DE">
          <w:rPr>
            <w:rStyle w:val="a7"/>
            <w:rFonts w:eastAsiaTheme="minorHAnsi"/>
            <w:iCs/>
            <w:color w:val="auto"/>
            <w:sz w:val="28"/>
            <w:szCs w:val="28"/>
            <w:u w:val="none"/>
            <w:lang w:val="en-US"/>
          </w:rPr>
          <w:t>Procedia Economics and Finance</w:t>
        </w:r>
      </w:hyperlink>
      <w:r>
        <w:rPr>
          <w:rFonts w:eastAsiaTheme="minorHAnsi"/>
          <w:iCs/>
          <w:sz w:val="28"/>
          <w:szCs w:val="28"/>
          <w:lang w:val="uk-UA"/>
        </w:rPr>
        <w:t xml:space="preserve">, </w:t>
      </w:r>
      <w:hyperlink r:id="rId8" w:tooltip="Go to table of contents for this volume/issue" w:history="1">
        <w:r w:rsidRPr="008103DE">
          <w:rPr>
            <w:rStyle w:val="a7"/>
            <w:rFonts w:eastAsiaTheme="minorHAnsi"/>
            <w:iCs/>
            <w:color w:val="auto"/>
            <w:sz w:val="28"/>
            <w:szCs w:val="28"/>
            <w:u w:val="none"/>
            <w:lang w:val="en-US"/>
          </w:rPr>
          <w:t>Volume 5</w:t>
        </w:r>
      </w:hyperlink>
      <w:r w:rsidRPr="008103DE">
        <w:rPr>
          <w:rFonts w:eastAsiaTheme="minorHAnsi"/>
          <w:iCs/>
          <w:sz w:val="28"/>
          <w:szCs w:val="28"/>
          <w:lang w:val="en-US"/>
        </w:rPr>
        <w:t>, 2013, Pages 83-92</w:t>
      </w:r>
      <w:r>
        <w:rPr>
          <w:rFonts w:eastAsiaTheme="minorHAnsi"/>
          <w:iCs/>
          <w:sz w:val="28"/>
          <w:szCs w:val="28"/>
          <w:lang w:val="uk-UA"/>
        </w:rPr>
        <w:t>.</w:t>
      </w:r>
    </w:p>
    <w:p w14:paraId="5EEF452A" w14:textId="132FF160" w:rsidR="009B06CC" w:rsidRPr="008103DE" w:rsidRDefault="002C54EC" w:rsidP="00E74860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Theme="minorHAnsi"/>
          <w:iCs/>
          <w:sz w:val="28"/>
          <w:szCs w:val="28"/>
          <w:lang w:val="uk-UA"/>
        </w:rPr>
      </w:pPr>
      <w:proofErr w:type="spellStart"/>
      <w:r w:rsidRPr="002C47DC">
        <w:rPr>
          <w:rFonts w:eastAsiaTheme="minorHAnsi"/>
          <w:iCs/>
          <w:sz w:val="28"/>
          <w:szCs w:val="28"/>
          <w:lang w:val="uk-UA" w:eastAsia="en-US"/>
        </w:rPr>
        <w:t>European</w:t>
      </w:r>
      <w:proofErr w:type="spellEnd"/>
      <w:r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2C47DC">
        <w:rPr>
          <w:rFonts w:eastAsiaTheme="minorHAnsi"/>
          <w:iCs/>
          <w:sz w:val="28"/>
          <w:szCs w:val="28"/>
          <w:lang w:val="uk-UA" w:eastAsia="en-US"/>
        </w:rPr>
        <w:t>Business</w:t>
      </w:r>
      <w:proofErr w:type="spellEnd"/>
      <w:r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proofErr w:type="spellStart"/>
      <w:r w:rsidRPr="002C47DC">
        <w:rPr>
          <w:rFonts w:eastAsiaTheme="minorHAnsi"/>
          <w:iCs/>
          <w:sz w:val="28"/>
          <w:szCs w:val="28"/>
          <w:lang w:val="uk-UA" w:eastAsia="en-US"/>
        </w:rPr>
        <w:t>Association</w:t>
      </w:r>
      <w:proofErr w:type="spellEnd"/>
      <w:r>
        <w:rPr>
          <w:rFonts w:eastAsiaTheme="minorHAnsi"/>
          <w:iCs/>
          <w:sz w:val="28"/>
          <w:szCs w:val="28"/>
          <w:lang w:val="uk-UA" w:eastAsia="en-US"/>
        </w:rPr>
        <w:t>,</w:t>
      </w:r>
      <w:r w:rsidRPr="002C47DC">
        <w:rPr>
          <w:rFonts w:eastAsiaTheme="minorHAnsi"/>
          <w:iCs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Cs/>
          <w:sz w:val="28"/>
          <w:szCs w:val="28"/>
          <w:lang w:val="uk-UA" w:eastAsia="en-US"/>
        </w:rPr>
        <w:t>«</w:t>
      </w:r>
      <w:r w:rsidRPr="002C47DC">
        <w:rPr>
          <w:rFonts w:eastAsiaTheme="minorHAnsi"/>
          <w:iCs/>
          <w:sz w:val="28"/>
          <w:szCs w:val="28"/>
          <w:lang w:val="uk-UA" w:eastAsia="en-US"/>
        </w:rPr>
        <w:t>Дослідження та аналітика</w:t>
      </w:r>
      <w:r>
        <w:rPr>
          <w:rFonts w:eastAsiaTheme="minorHAnsi"/>
          <w:iCs/>
          <w:sz w:val="28"/>
          <w:szCs w:val="28"/>
          <w:lang w:val="uk-UA" w:eastAsia="en-US"/>
        </w:rPr>
        <w:t>», публікація</w:t>
      </w:r>
      <w:r w:rsidRPr="002C47DC">
        <w:rPr>
          <w:rFonts w:eastAsiaTheme="minorHAnsi"/>
          <w:iCs/>
          <w:sz w:val="28"/>
          <w:szCs w:val="28"/>
          <w:lang w:val="uk-UA" w:eastAsia="en-US"/>
        </w:rPr>
        <w:t xml:space="preserve"> URL:</w:t>
      </w:r>
      <w:hyperlink r:id="rId9" w:history="1">
        <w:r w:rsidRPr="002C47DC">
          <w:rPr>
            <w:rFonts w:eastAsiaTheme="minorHAnsi"/>
            <w:iCs/>
            <w:sz w:val="28"/>
            <w:szCs w:val="28"/>
            <w:lang w:val="uk-UA" w:eastAsia="en-US"/>
          </w:rPr>
          <w:t>https://eba.com.ua/indeks-investytsijnoyi-pryvablyvosti-ukrayiny-pokazav-najnyzhche-znachennya-z-2013-roku</w:t>
        </w:r>
      </w:hyperlink>
    </w:p>
    <w:p w14:paraId="77C80514" w14:textId="4A4E917C" w:rsidR="00CC1709" w:rsidRPr="00107B73" w:rsidRDefault="009B06CC" w:rsidP="00E74860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uk-UA"/>
        </w:rPr>
      </w:pPr>
      <w:r w:rsidRPr="00E95492">
        <w:rPr>
          <w:rFonts w:eastAsiaTheme="minorHAnsi"/>
          <w:iCs/>
          <w:sz w:val="28"/>
          <w:szCs w:val="28"/>
          <w:lang w:val="uk-UA" w:eastAsia="en-US"/>
        </w:rPr>
        <w:t xml:space="preserve">Європейська Бізнес Асоціація, </w:t>
      </w:r>
      <w:r w:rsidR="0048435A" w:rsidRPr="00E95492">
        <w:rPr>
          <w:rFonts w:eastAsiaTheme="minorHAnsi"/>
          <w:iCs/>
          <w:sz w:val="28"/>
          <w:szCs w:val="28"/>
          <w:lang w:val="uk-UA" w:eastAsia="en-US"/>
        </w:rPr>
        <w:t>«</w:t>
      </w:r>
      <w:r w:rsidR="0048435A" w:rsidRPr="00E95492">
        <w:rPr>
          <w:rFonts w:eastAsiaTheme="minorHAnsi"/>
          <w:iCs/>
          <w:sz w:val="28"/>
          <w:szCs w:val="28"/>
          <w:lang w:val="uk-UA"/>
        </w:rPr>
        <w:t xml:space="preserve">Тільки 1 з 10 СЕО очікує на поліпшення </w:t>
      </w:r>
      <w:proofErr w:type="spellStart"/>
      <w:r w:rsidR="0048435A" w:rsidRPr="00E95492">
        <w:rPr>
          <w:rFonts w:eastAsiaTheme="minorHAnsi"/>
          <w:iCs/>
          <w:sz w:val="28"/>
          <w:szCs w:val="28"/>
          <w:lang w:val="uk-UA"/>
        </w:rPr>
        <w:t>інвестклімату</w:t>
      </w:r>
      <w:proofErr w:type="spellEnd"/>
      <w:r w:rsidR="0048435A" w:rsidRPr="00E95492">
        <w:rPr>
          <w:rFonts w:eastAsiaTheme="minorHAnsi"/>
          <w:iCs/>
          <w:sz w:val="28"/>
          <w:szCs w:val="28"/>
          <w:lang w:val="uk-UA"/>
        </w:rPr>
        <w:t xml:space="preserve"> у 2021 році», </w:t>
      </w:r>
      <w:r w:rsidR="0048435A" w:rsidRPr="00E95492">
        <w:rPr>
          <w:rFonts w:eastAsiaTheme="minorHAnsi"/>
          <w:iCs/>
          <w:sz w:val="28"/>
          <w:szCs w:val="28"/>
          <w:lang w:val="uk-UA" w:eastAsia="en-US"/>
        </w:rPr>
        <w:t xml:space="preserve">URL: </w:t>
      </w:r>
      <w:proofErr w:type="spellStart"/>
      <w:r w:rsidR="0048435A" w:rsidRPr="00E95492">
        <w:rPr>
          <w:rFonts w:eastAsiaTheme="minorHAnsi"/>
          <w:iCs/>
          <w:sz w:val="28"/>
          <w:szCs w:val="28"/>
          <w:lang w:val="en-US" w:eastAsia="en-US"/>
        </w:rPr>
        <w:t>ht</w:t>
      </w:r>
      <w:proofErr w:type="spellEnd"/>
      <w:r w:rsidR="0048435A" w:rsidRPr="00E95492">
        <w:rPr>
          <w:rFonts w:eastAsiaTheme="minorHAnsi"/>
          <w:iCs/>
          <w:sz w:val="28"/>
          <w:szCs w:val="28"/>
          <w:lang w:val="uk-UA" w:eastAsia="en-US"/>
        </w:rPr>
        <w:t>tps://eba.com.ua/tilky-1-z-10-seo-ochikuye-na-polipshennya-investklimatu-u-2021-rotsi/</w:t>
      </w:r>
      <w:r w:rsidR="00434570" w:rsidRPr="00E95492">
        <w:rPr>
          <w:rFonts w:eastAsiaTheme="minorHAnsi"/>
          <w:iCs/>
          <w:sz w:val="28"/>
          <w:szCs w:val="28"/>
          <w:lang w:val="uk-UA" w:eastAsia="en-US"/>
        </w:rPr>
        <w:t>.</w:t>
      </w:r>
    </w:p>
    <w:sectPr w:rsidR="00CC1709" w:rsidRPr="00107B73" w:rsidSect="004345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CD0"/>
    <w:multiLevelType w:val="hybridMultilevel"/>
    <w:tmpl w:val="25C8CC20"/>
    <w:lvl w:ilvl="0" w:tplc="9F0037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D14BC"/>
    <w:multiLevelType w:val="hybridMultilevel"/>
    <w:tmpl w:val="34F88C92"/>
    <w:lvl w:ilvl="0" w:tplc="0048238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93C3A0F"/>
    <w:multiLevelType w:val="hybridMultilevel"/>
    <w:tmpl w:val="14FA20E8"/>
    <w:lvl w:ilvl="0" w:tplc="9F0037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6C4C30"/>
    <w:multiLevelType w:val="hybridMultilevel"/>
    <w:tmpl w:val="435A3046"/>
    <w:lvl w:ilvl="0" w:tplc="9F0037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060539"/>
    <w:multiLevelType w:val="hybridMultilevel"/>
    <w:tmpl w:val="D8AE49D4"/>
    <w:lvl w:ilvl="0" w:tplc="FE34A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8871306">
    <w:abstractNumId w:val="0"/>
  </w:num>
  <w:num w:numId="2" w16cid:durableId="2029333713">
    <w:abstractNumId w:val="1"/>
  </w:num>
  <w:num w:numId="3" w16cid:durableId="1669748130">
    <w:abstractNumId w:val="3"/>
  </w:num>
  <w:num w:numId="4" w16cid:durableId="1999533352">
    <w:abstractNumId w:val="2"/>
  </w:num>
  <w:num w:numId="5" w16cid:durableId="1550339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82AA9"/>
    <w:rsid w:val="000A28D8"/>
    <w:rsid w:val="000A6610"/>
    <w:rsid w:val="00107B73"/>
    <w:rsid w:val="00151229"/>
    <w:rsid w:val="001C023E"/>
    <w:rsid w:val="002875CB"/>
    <w:rsid w:val="002C54EC"/>
    <w:rsid w:val="002E1AD7"/>
    <w:rsid w:val="00333BF0"/>
    <w:rsid w:val="00377C58"/>
    <w:rsid w:val="003C03E5"/>
    <w:rsid w:val="003D2044"/>
    <w:rsid w:val="00434570"/>
    <w:rsid w:val="0048435A"/>
    <w:rsid w:val="00536128"/>
    <w:rsid w:val="00632E36"/>
    <w:rsid w:val="0064237B"/>
    <w:rsid w:val="006A1368"/>
    <w:rsid w:val="006E0100"/>
    <w:rsid w:val="00731F06"/>
    <w:rsid w:val="0078384B"/>
    <w:rsid w:val="007E765E"/>
    <w:rsid w:val="00810757"/>
    <w:rsid w:val="0082754E"/>
    <w:rsid w:val="008428B2"/>
    <w:rsid w:val="00870604"/>
    <w:rsid w:val="00890347"/>
    <w:rsid w:val="008A2957"/>
    <w:rsid w:val="008A4902"/>
    <w:rsid w:val="009B06CC"/>
    <w:rsid w:val="009B4516"/>
    <w:rsid w:val="009D3147"/>
    <w:rsid w:val="00A74600"/>
    <w:rsid w:val="00B149BC"/>
    <w:rsid w:val="00B82D48"/>
    <w:rsid w:val="00B9428B"/>
    <w:rsid w:val="00BC012F"/>
    <w:rsid w:val="00C53227"/>
    <w:rsid w:val="00C73977"/>
    <w:rsid w:val="00CC1709"/>
    <w:rsid w:val="00CF45FA"/>
    <w:rsid w:val="00D611F2"/>
    <w:rsid w:val="00DE2D27"/>
    <w:rsid w:val="00E34CAF"/>
    <w:rsid w:val="00E74860"/>
    <w:rsid w:val="00E80090"/>
    <w:rsid w:val="00E95492"/>
    <w:rsid w:val="00EC598D"/>
    <w:rsid w:val="00ED748C"/>
    <w:rsid w:val="00E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1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204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9B06C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C01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Unresolved Mention"/>
    <w:basedOn w:val="a0"/>
    <w:uiPriority w:val="99"/>
    <w:semiHidden/>
    <w:unhideWhenUsed/>
    <w:rsid w:val="00434570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107B7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07B73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107B7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7B73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107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procedia-economics-and-finance/vol/5/suppl/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journal/procedia-economics-and-fin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22-20" TargetMode="Externa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ba.com.ua/indeks-investytsijnoyi-pryvablyvosti-ukrayiny-pokazav-najnyzhche-znachennya-z-2013-rok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75000"/>
                  </a:schemeClr>
                </a:solidFill>
              </a:rPr>
              <a:t>Прямі</a:t>
            </a:r>
            <a:r>
              <a:rPr lang="uk-UA" b="1" baseline="0">
                <a:solidFill>
                  <a:schemeClr val="accent1">
                    <a:lumMod val="75000"/>
                  </a:schemeClr>
                </a:solidFill>
              </a:rPr>
              <a:t> іноземні інвестиції, млрд. дол.</a:t>
            </a:r>
            <a:endParaRPr lang="uk-UA" b="1">
              <a:solidFill>
                <a:schemeClr val="accent1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3524953696002807"/>
          <c:y val="4.74547922888949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2023 рік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Аркуш1!$A$2:$A$9</c:f>
              <c:strCache>
                <c:ptCount val="8"/>
                <c:pt idx="0">
                  <c:v>Азія, - 8%</c:v>
                </c:pt>
                <c:pt idx="1">
                  <c:v>Латинська Америка та Кариби, - 1%</c:v>
                </c:pt>
                <c:pt idx="2">
                  <c:v>Африка, - 3%</c:v>
                </c:pt>
                <c:pt idx="3">
                  <c:v>Економіки, які розвиваються, - 7%</c:v>
                </c:pt>
                <c:pt idx="4">
                  <c:v>Північна Америка, - 5%</c:v>
                </c:pt>
                <c:pt idx="5">
                  <c:v>Європа, -</c:v>
                </c:pt>
                <c:pt idx="6">
                  <c:v>Розвинуті економіки, + 9%</c:v>
                </c:pt>
                <c:pt idx="7">
                  <c:v>Світ, - 2%</c:v>
                </c:pt>
              </c:strCache>
            </c:strRef>
          </c:cat>
          <c:val>
            <c:numRef>
              <c:f>Аркуш1!$B$2:$B$9</c:f>
              <c:numCache>
                <c:formatCode>General</c:formatCode>
                <c:ptCount val="8"/>
                <c:pt idx="0">
                  <c:v>621</c:v>
                </c:pt>
                <c:pt idx="1">
                  <c:v>193</c:v>
                </c:pt>
                <c:pt idx="2">
                  <c:v>53</c:v>
                </c:pt>
                <c:pt idx="3">
                  <c:v>867</c:v>
                </c:pt>
                <c:pt idx="4">
                  <c:v>361</c:v>
                </c:pt>
                <c:pt idx="5">
                  <c:v>16</c:v>
                </c:pt>
                <c:pt idx="6">
                  <c:v>464</c:v>
                </c:pt>
                <c:pt idx="7">
                  <c:v>1332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76-4507-B9C8-D4723A995198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 рік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Аркуш1!$A$2:$A$9</c:f>
              <c:strCache>
                <c:ptCount val="8"/>
                <c:pt idx="0">
                  <c:v>Азія, - 8%</c:v>
                </c:pt>
                <c:pt idx="1">
                  <c:v>Латинська Америка та Кариби, - 1%</c:v>
                </c:pt>
                <c:pt idx="2">
                  <c:v>Африка, - 3%</c:v>
                </c:pt>
                <c:pt idx="3">
                  <c:v>Економіки, які розвиваються, - 7%</c:v>
                </c:pt>
                <c:pt idx="4">
                  <c:v>Північна Америка, - 5%</c:v>
                </c:pt>
                <c:pt idx="5">
                  <c:v>Європа, -</c:v>
                </c:pt>
                <c:pt idx="6">
                  <c:v>Розвинуті економіки, + 9%</c:v>
                </c:pt>
                <c:pt idx="7">
                  <c:v>Світ, - 2%</c:v>
                </c:pt>
              </c:strCache>
            </c:strRef>
          </c:cat>
          <c:val>
            <c:numRef>
              <c:f>Аркуш1!$C$2:$C$9</c:f>
              <c:numCache>
                <c:formatCode>General</c:formatCode>
                <c:ptCount val="8"/>
                <c:pt idx="0">
                  <c:v>678</c:v>
                </c:pt>
                <c:pt idx="1">
                  <c:v>196</c:v>
                </c:pt>
                <c:pt idx="2">
                  <c:v>54</c:v>
                </c:pt>
                <c:pt idx="3">
                  <c:v>930</c:v>
                </c:pt>
                <c:pt idx="4">
                  <c:v>379</c:v>
                </c:pt>
                <c:pt idx="5">
                  <c:v>-106</c:v>
                </c:pt>
                <c:pt idx="6">
                  <c:v>426</c:v>
                </c:pt>
                <c:pt idx="7">
                  <c:v>1356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76-4507-B9C8-D4723A995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56927152"/>
        <c:axId val="1756920432"/>
      </c:barChart>
      <c:catAx>
        <c:axId val="1756927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56920432"/>
        <c:crosses val="autoZero"/>
        <c:auto val="1"/>
        <c:lblAlgn val="ctr"/>
        <c:lblOffset val="100"/>
        <c:noMultiLvlLbl val="0"/>
      </c:catAx>
      <c:valAx>
        <c:axId val="1756920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56927152"/>
        <c:crosses val="autoZero"/>
        <c:crossBetween val="between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>
          <a:alpha val="99000"/>
        </a:schemeClr>
      </a:solidFill>
      <a:round/>
    </a:ln>
    <a:effectLst>
      <a:softEdge rad="12700"/>
    </a:effectLst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954</Words>
  <Characters>6838</Characters>
  <Application>Microsoft Office Word</Application>
  <DocSecurity>0</DocSecurity>
  <Lines>115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Нестеров Сергій Васильович</cp:lastModifiedBy>
  <cp:revision>3</cp:revision>
  <dcterms:created xsi:type="dcterms:W3CDTF">2024-09-19T11:54:00Z</dcterms:created>
  <dcterms:modified xsi:type="dcterms:W3CDTF">2024-09-19T12:53:00Z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