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9A0" w:rsidRDefault="00A849A0" w:rsidP="00C47B70">
      <w:pPr>
        <w:pStyle w:val="a3"/>
        <w:spacing w:beforeLines="25" w:afterLines="25" w:line="300" w:lineRule="auto"/>
        <w:ind w:firstLine="69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ЗАБЕЗПЕЧЕННЯ ПРАВ ВНУТРІШНІХ ІНВЕСТОРІВ У СФЕРІ НЕБАНКІВСЬКИХ ФІНАНСОВИХ ПОСЛУГ </w:t>
      </w:r>
    </w:p>
    <w:p w:rsidR="00A849A0" w:rsidRPr="00D8709E" w:rsidRDefault="00A849A0" w:rsidP="00C47B70">
      <w:pPr>
        <w:pStyle w:val="a3"/>
        <w:spacing w:beforeLines="25" w:afterLines="25" w:line="300" w:lineRule="auto"/>
        <w:ind w:firstLine="698"/>
        <w:jc w:val="center"/>
        <w:rPr>
          <w:rFonts w:ascii="Times New Roman" w:hAnsi="Times New Roman" w:cs="Times New Roman"/>
          <w:b/>
          <w:bCs/>
          <w:sz w:val="28"/>
          <w:szCs w:val="28"/>
          <w:lang w:val="uk-UA"/>
        </w:rPr>
      </w:pPr>
      <w:proofErr w:type="spellStart"/>
      <w:r w:rsidRPr="00D8709E">
        <w:rPr>
          <w:rFonts w:ascii="Times New Roman" w:hAnsi="Times New Roman" w:cs="Times New Roman"/>
          <w:b/>
          <w:bCs/>
          <w:sz w:val="28"/>
          <w:szCs w:val="28"/>
          <w:lang w:val="uk-UA"/>
        </w:rPr>
        <w:t>Беляневич</w:t>
      </w:r>
      <w:proofErr w:type="spellEnd"/>
      <w:r w:rsidRPr="00D8709E">
        <w:rPr>
          <w:rFonts w:ascii="Times New Roman" w:hAnsi="Times New Roman" w:cs="Times New Roman"/>
          <w:b/>
          <w:bCs/>
          <w:sz w:val="28"/>
          <w:szCs w:val="28"/>
          <w:lang w:val="uk-UA"/>
        </w:rPr>
        <w:t xml:space="preserve"> Олена</w:t>
      </w:r>
      <w:r w:rsidRPr="00D8709E">
        <w:rPr>
          <w:rFonts w:ascii="Times New Roman" w:hAnsi="Times New Roman" w:cs="Times New Roman"/>
          <w:b/>
          <w:bCs/>
          <w:sz w:val="28"/>
          <w:szCs w:val="28"/>
        </w:rPr>
        <w:t xml:space="preserve"> </w:t>
      </w:r>
      <w:proofErr w:type="spellStart"/>
      <w:r w:rsidRPr="00D8709E">
        <w:rPr>
          <w:rFonts w:ascii="Times New Roman" w:hAnsi="Times New Roman" w:cs="Times New Roman"/>
          <w:b/>
          <w:bCs/>
          <w:sz w:val="28"/>
          <w:szCs w:val="28"/>
        </w:rPr>
        <w:t>Анатоліївна</w:t>
      </w:r>
      <w:proofErr w:type="spellEnd"/>
    </w:p>
    <w:p w:rsidR="00A849A0" w:rsidRPr="00D8709E" w:rsidRDefault="00A849A0" w:rsidP="00C47B70">
      <w:pPr>
        <w:pStyle w:val="a3"/>
        <w:spacing w:beforeLines="25" w:afterLines="25" w:line="300" w:lineRule="auto"/>
        <w:ind w:firstLine="698"/>
        <w:jc w:val="center"/>
        <w:rPr>
          <w:rFonts w:ascii="Times New Roman" w:hAnsi="Times New Roman" w:cs="Times New Roman"/>
          <w:bCs/>
          <w:i/>
          <w:sz w:val="28"/>
          <w:szCs w:val="28"/>
          <w:lang w:val="uk-UA"/>
        </w:rPr>
      </w:pPr>
      <w:r w:rsidRPr="00D8709E">
        <w:rPr>
          <w:rFonts w:ascii="Times New Roman" w:hAnsi="Times New Roman" w:cs="Times New Roman"/>
          <w:bCs/>
          <w:i/>
          <w:sz w:val="28"/>
          <w:szCs w:val="28"/>
          <w:lang w:val="uk-UA"/>
        </w:rPr>
        <w:t>Донецький національний університет імені Василя Стуса</w:t>
      </w:r>
    </w:p>
    <w:p w:rsidR="00A849A0" w:rsidRPr="00D8709E" w:rsidRDefault="00A849A0" w:rsidP="00C47B70">
      <w:pPr>
        <w:pStyle w:val="a3"/>
        <w:spacing w:beforeLines="25" w:afterLines="25" w:line="300" w:lineRule="auto"/>
        <w:ind w:firstLine="698"/>
        <w:jc w:val="center"/>
        <w:rPr>
          <w:rFonts w:ascii="Times New Roman" w:hAnsi="Times New Roman" w:cs="Times New Roman"/>
          <w:bCs/>
          <w:i/>
          <w:sz w:val="28"/>
          <w:szCs w:val="28"/>
          <w:lang w:val="uk-UA"/>
        </w:rPr>
      </w:pPr>
      <w:r w:rsidRPr="00D8709E">
        <w:rPr>
          <w:rFonts w:ascii="Times New Roman" w:hAnsi="Times New Roman" w:cs="Times New Roman"/>
          <w:bCs/>
          <w:i/>
          <w:sz w:val="28"/>
          <w:szCs w:val="28"/>
          <w:lang w:val="uk-UA"/>
        </w:rPr>
        <w:t>(Вінниця, Україна)</w:t>
      </w:r>
    </w:p>
    <w:p w:rsidR="00A849A0" w:rsidRDefault="00A849A0" w:rsidP="00C47B70">
      <w:pPr>
        <w:pStyle w:val="a3"/>
        <w:spacing w:beforeLines="25" w:afterLines="25" w:line="300" w:lineRule="auto"/>
        <w:ind w:firstLine="698"/>
        <w:jc w:val="center"/>
        <w:rPr>
          <w:rFonts w:ascii="Times New Roman" w:hAnsi="Times New Roman" w:cs="Times New Roman"/>
          <w:bCs/>
          <w:sz w:val="28"/>
          <w:szCs w:val="28"/>
          <w:lang w:val="uk-UA"/>
        </w:rPr>
      </w:pPr>
      <w:r w:rsidRPr="00D8709E">
        <w:rPr>
          <w:rFonts w:ascii="Times New Roman" w:hAnsi="Times New Roman" w:cs="Times New Roman"/>
          <w:bCs/>
          <w:sz w:val="28"/>
          <w:szCs w:val="28"/>
          <w:lang w:val="en-US"/>
        </w:rPr>
        <w:t>b</w:t>
      </w:r>
      <w:proofErr w:type="spellStart"/>
      <w:r w:rsidRPr="00D8709E">
        <w:rPr>
          <w:rFonts w:ascii="Times New Roman" w:hAnsi="Times New Roman" w:cs="Times New Roman"/>
          <w:bCs/>
          <w:sz w:val="28"/>
          <w:szCs w:val="28"/>
          <w:lang w:val="uk-UA"/>
        </w:rPr>
        <w:t>elyanevych</w:t>
      </w:r>
      <w:proofErr w:type="spellEnd"/>
      <w:r w:rsidRPr="00D8709E">
        <w:rPr>
          <w:rFonts w:ascii="Times New Roman" w:hAnsi="Times New Roman" w:cs="Times New Roman"/>
          <w:bCs/>
          <w:sz w:val="28"/>
          <w:szCs w:val="28"/>
          <w:lang w:val="uk-UA"/>
        </w:rPr>
        <w:t>.</w:t>
      </w:r>
      <w:proofErr w:type="spellStart"/>
      <w:r w:rsidRPr="00D8709E">
        <w:rPr>
          <w:rFonts w:ascii="Times New Roman" w:hAnsi="Times New Roman" w:cs="Times New Roman"/>
          <w:bCs/>
          <w:sz w:val="28"/>
          <w:szCs w:val="28"/>
          <w:lang w:val="en-US"/>
        </w:rPr>
        <w:t>helen</w:t>
      </w:r>
      <w:proofErr w:type="spellEnd"/>
      <w:r w:rsidRPr="00A22EF9">
        <w:rPr>
          <w:rFonts w:ascii="Times New Roman" w:hAnsi="Times New Roman" w:cs="Times New Roman"/>
          <w:bCs/>
          <w:sz w:val="28"/>
          <w:szCs w:val="28"/>
        </w:rPr>
        <w:t>@</w:t>
      </w:r>
      <w:proofErr w:type="spellStart"/>
      <w:r w:rsidRPr="00D8709E">
        <w:rPr>
          <w:rFonts w:ascii="Times New Roman" w:hAnsi="Times New Roman" w:cs="Times New Roman"/>
          <w:bCs/>
          <w:sz w:val="28"/>
          <w:szCs w:val="28"/>
          <w:lang w:val="en-US"/>
        </w:rPr>
        <w:t>gmail</w:t>
      </w:r>
      <w:proofErr w:type="spellEnd"/>
      <w:r w:rsidRPr="00A22EF9">
        <w:rPr>
          <w:rFonts w:ascii="Times New Roman" w:hAnsi="Times New Roman" w:cs="Times New Roman"/>
          <w:bCs/>
          <w:sz w:val="28"/>
          <w:szCs w:val="28"/>
        </w:rPr>
        <w:t>.</w:t>
      </w:r>
      <w:r w:rsidRPr="00D8709E">
        <w:rPr>
          <w:rFonts w:ascii="Times New Roman" w:hAnsi="Times New Roman" w:cs="Times New Roman"/>
          <w:bCs/>
          <w:sz w:val="28"/>
          <w:szCs w:val="28"/>
          <w:lang w:val="en-US"/>
        </w:rPr>
        <w:t>com</w:t>
      </w:r>
    </w:p>
    <w:p w:rsidR="00A849A0" w:rsidRDefault="00A849A0" w:rsidP="00A849A0">
      <w:pPr>
        <w:spacing w:line="300" w:lineRule="auto"/>
        <w:ind w:firstLine="851"/>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Діяльність небанківських фінансових установ </w:t>
      </w:r>
      <w:r w:rsidRPr="002B0DCE">
        <w:rPr>
          <w:rFonts w:ascii="Times New Roman" w:hAnsi="Times New Roman" w:cs="Times New Roman"/>
          <w:sz w:val="28"/>
          <w:szCs w:val="28"/>
          <w:lang w:val="uk-UA"/>
        </w:rPr>
        <w:t>є ва</w:t>
      </w:r>
      <w:r>
        <w:rPr>
          <w:rFonts w:ascii="Times New Roman" w:hAnsi="Times New Roman" w:cs="Times New Roman"/>
          <w:sz w:val="28"/>
          <w:szCs w:val="28"/>
          <w:lang w:val="uk-UA"/>
        </w:rPr>
        <w:t>жливим</w:t>
      </w:r>
      <w:r w:rsidRPr="002B0DCE">
        <w:rPr>
          <w:rFonts w:ascii="Times New Roman" w:hAnsi="Times New Roman" w:cs="Times New Roman"/>
          <w:sz w:val="28"/>
          <w:szCs w:val="28"/>
          <w:lang w:val="uk-UA"/>
        </w:rPr>
        <w:t xml:space="preserve"> чинником розвитку економіки</w:t>
      </w:r>
      <w:r>
        <w:rPr>
          <w:rFonts w:ascii="Times New Roman" w:hAnsi="Times New Roman" w:cs="Times New Roman"/>
          <w:sz w:val="28"/>
          <w:szCs w:val="28"/>
          <w:lang w:val="uk-UA"/>
        </w:rPr>
        <w:t xml:space="preserve">, </w:t>
      </w:r>
      <w:r w:rsidR="008A2110">
        <w:rPr>
          <w:rFonts w:ascii="Times New Roman" w:hAnsi="Times New Roman" w:cs="Times New Roman"/>
          <w:sz w:val="28"/>
          <w:szCs w:val="28"/>
          <w:lang w:val="uk-UA"/>
        </w:rPr>
        <w:t xml:space="preserve">яка </w:t>
      </w:r>
      <w:r w:rsidRPr="002B0DCE">
        <w:rPr>
          <w:rFonts w:ascii="Times New Roman" w:hAnsi="Times New Roman" w:cs="Times New Roman"/>
          <w:sz w:val="28"/>
          <w:szCs w:val="28"/>
          <w:lang w:val="uk-UA"/>
        </w:rPr>
        <w:t xml:space="preserve">сприяє створенню й розвитку виробничих </w:t>
      </w:r>
      <w:r w:rsidR="00D039DE" w:rsidRPr="002B0DCE">
        <w:rPr>
          <w:rFonts w:ascii="Times New Roman" w:hAnsi="Times New Roman" w:cs="Times New Roman"/>
          <w:sz w:val="28"/>
          <w:szCs w:val="28"/>
          <w:lang w:val="uk-UA"/>
        </w:rPr>
        <w:t xml:space="preserve">об’єктів </w:t>
      </w:r>
      <w:r w:rsidRPr="002B0DCE">
        <w:rPr>
          <w:rFonts w:ascii="Times New Roman" w:hAnsi="Times New Roman" w:cs="Times New Roman"/>
          <w:sz w:val="28"/>
          <w:szCs w:val="28"/>
          <w:lang w:val="uk-UA"/>
        </w:rPr>
        <w:t xml:space="preserve">і </w:t>
      </w:r>
      <w:r w:rsidR="00D039DE">
        <w:rPr>
          <w:rFonts w:ascii="Times New Roman" w:hAnsi="Times New Roman" w:cs="Times New Roman"/>
          <w:sz w:val="28"/>
          <w:szCs w:val="28"/>
          <w:lang w:val="uk-UA"/>
        </w:rPr>
        <w:t xml:space="preserve">об’єктів </w:t>
      </w:r>
      <w:r w:rsidR="00D039DE" w:rsidRPr="002B0DCE">
        <w:rPr>
          <w:rFonts w:ascii="Times New Roman" w:hAnsi="Times New Roman" w:cs="Times New Roman"/>
          <w:sz w:val="28"/>
          <w:szCs w:val="28"/>
          <w:lang w:val="uk-UA"/>
        </w:rPr>
        <w:t>соціальн</w:t>
      </w:r>
      <w:r w:rsidR="00D039DE">
        <w:rPr>
          <w:rFonts w:ascii="Times New Roman" w:hAnsi="Times New Roman" w:cs="Times New Roman"/>
          <w:sz w:val="28"/>
          <w:szCs w:val="28"/>
          <w:lang w:val="uk-UA"/>
        </w:rPr>
        <w:t>ої інфраструктури</w:t>
      </w:r>
      <w:r>
        <w:rPr>
          <w:rFonts w:ascii="Times New Roman" w:hAnsi="Times New Roman" w:cs="Times New Roman"/>
          <w:sz w:val="28"/>
          <w:szCs w:val="28"/>
          <w:lang w:val="uk-UA"/>
        </w:rPr>
        <w:t>, вирішенню соціальних завдань, тому контроль за акумуляцією та п</w:t>
      </w:r>
      <w:r w:rsidRPr="002B0DCE">
        <w:rPr>
          <w:rFonts w:ascii="Times New Roman" w:hAnsi="Times New Roman" w:cs="Times New Roman"/>
          <w:sz w:val="28"/>
          <w:szCs w:val="28"/>
          <w:lang w:val="uk-UA"/>
        </w:rPr>
        <w:t>ерерозподіл</w:t>
      </w:r>
      <w:r>
        <w:rPr>
          <w:rFonts w:ascii="Times New Roman" w:hAnsi="Times New Roman" w:cs="Times New Roman"/>
          <w:sz w:val="28"/>
          <w:szCs w:val="28"/>
          <w:lang w:val="uk-UA"/>
        </w:rPr>
        <w:t>ом</w:t>
      </w:r>
      <w:r w:rsidRPr="002B0DCE">
        <w:rPr>
          <w:rFonts w:ascii="Times New Roman" w:hAnsi="Times New Roman" w:cs="Times New Roman"/>
          <w:sz w:val="28"/>
          <w:szCs w:val="28"/>
          <w:lang w:val="uk-UA"/>
        </w:rPr>
        <w:t xml:space="preserve"> фінансових ресурсів</w:t>
      </w:r>
      <w:r>
        <w:rPr>
          <w:rFonts w:ascii="Times New Roman" w:hAnsi="Times New Roman" w:cs="Times New Roman"/>
          <w:sz w:val="28"/>
          <w:szCs w:val="28"/>
          <w:lang w:val="uk-UA"/>
        </w:rPr>
        <w:t xml:space="preserve"> всередині країни в умовах воєнного стану та повоєнного відновлення, </w:t>
      </w:r>
      <w:r w:rsidR="00D039DE">
        <w:rPr>
          <w:rFonts w:ascii="Times New Roman" w:hAnsi="Times New Roman" w:cs="Times New Roman"/>
          <w:sz w:val="28"/>
          <w:szCs w:val="28"/>
          <w:lang w:val="uk-UA"/>
        </w:rPr>
        <w:t xml:space="preserve">масштаби якої </w:t>
      </w:r>
      <w:r>
        <w:rPr>
          <w:rFonts w:ascii="Times New Roman" w:hAnsi="Times New Roman" w:cs="Times New Roman"/>
          <w:sz w:val="28"/>
          <w:szCs w:val="28"/>
          <w:lang w:val="uk-UA"/>
        </w:rPr>
        <w:t xml:space="preserve">нам ще поки невідомі, мають розглядатися як один з </w:t>
      </w:r>
      <w:r w:rsidR="00D039DE">
        <w:rPr>
          <w:rFonts w:ascii="Times New Roman" w:hAnsi="Times New Roman" w:cs="Times New Roman"/>
          <w:sz w:val="28"/>
          <w:szCs w:val="28"/>
          <w:lang w:val="uk-UA"/>
        </w:rPr>
        <w:t xml:space="preserve">важливих </w:t>
      </w:r>
      <w:r>
        <w:rPr>
          <w:rFonts w:ascii="Times New Roman" w:hAnsi="Times New Roman" w:cs="Times New Roman"/>
          <w:sz w:val="28"/>
          <w:szCs w:val="28"/>
          <w:lang w:val="uk-UA"/>
        </w:rPr>
        <w:t xml:space="preserve">елементів національної безпеки в сфері економіки, а послаблення </w:t>
      </w:r>
      <w:r w:rsidR="00D039DE">
        <w:rPr>
          <w:rFonts w:ascii="Times New Roman" w:hAnsi="Times New Roman" w:cs="Times New Roman"/>
          <w:sz w:val="28"/>
          <w:szCs w:val="28"/>
          <w:lang w:val="uk-UA"/>
        </w:rPr>
        <w:t xml:space="preserve">контролю </w:t>
      </w:r>
      <w:r>
        <w:rPr>
          <w:rFonts w:ascii="Times New Roman" w:hAnsi="Times New Roman" w:cs="Times New Roman"/>
          <w:sz w:val="28"/>
          <w:szCs w:val="28"/>
          <w:lang w:val="uk-UA"/>
        </w:rPr>
        <w:t>– як загроза публічному порядку і фундаментальним національним інтересам, визначеним Законом України «Про національну безпеку України»</w:t>
      </w:r>
      <w:r w:rsidRPr="002B0DCE">
        <w:rPr>
          <w:rFonts w:ascii="Times New Roman" w:hAnsi="Times New Roman" w:cs="Times New Roman"/>
          <w:sz w:val="28"/>
          <w:szCs w:val="28"/>
          <w:lang w:val="uk-UA"/>
        </w:rPr>
        <w:t>.</w:t>
      </w:r>
      <w:r w:rsidR="002A73C7">
        <w:rPr>
          <w:rFonts w:ascii="Times New Roman" w:hAnsi="Times New Roman" w:cs="Times New Roman"/>
          <w:sz w:val="28"/>
          <w:szCs w:val="28"/>
          <w:lang w:val="uk-UA"/>
        </w:rPr>
        <w:t xml:space="preserve"> </w:t>
      </w:r>
      <w:proofErr w:type="spellStart"/>
      <w:r>
        <w:rPr>
          <w:rFonts w:ascii="Times New Roman" w:hAnsi="Times New Roman" w:cs="Times New Roman"/>
          <w:bCs/>
          <w:sz w:val="28"/>
          <w:szCs w:val="28"/>
          <w:lang w:val="uk-UA"/>
        </w:rPr>
        <w:t>П</w:t>
      </w:r>
      <w:r w:rsidRPr="009239ED">
        <w:rPr>
          <w:rFonts w:ascii="Times New Roman" w:hAnsi="Times New Roman" w:cs="Times New Roman"/>
          <w:bCs/>
          <w:sz w:val="28"/>
          <w:szCs w:val="28"/>
          <w:lang w:val="uk-UA"/>
        </w:rPr>
        <w:t>овоєнн</w:t>
      </w:r>
      <w:r>
        <w:rPr>
          <w:rFonts w:ascii="Times New Roman" w:hAnsi="Times New Roman" w:cs="Times New Roman"/>
          <w:bCs/>
          <w:sz w:val="28"/>
          <w:szCs w:val="28"/>
          <w:lang w:val="uk-UA"/>
        </w:rPr>
        <w:t>є</w:t>
      </w:r>
      <w:proofErr w:type="spellEnd"/>
      <w:r w:rsidRPr="009239ED">
        <w:rPr>
          <w:rFonts w:ascii="Times New Roman" w:hAnsi="Times New Roman" w:cs="Times New Roman"/>
          <w:bCs/>
          <w:sz w:val="28"/>
          <w:szCs w:val="28"/>
          <w:lang w:val="uk-UA"/>
        </w:rPr>
        <w:t xml:space="preserve"> відновлення</w:t>
      </w:r>
      <w:r>
        <w:rPr>
          <w:rFonts w:ascii="Times New Roman" w:hAnsi="Times New Roman" w:cs="Times New Roman"/>
          <w:bCs/>
          <w:sz w:val="28"/>
          <w:szCs w:val="28"/>
          <w:lang w:val="uk-UA"/>
        </w:rPr>
        <w:t xml:space="preserve"> України потребуватиме значних інвестицій, при цьому зазвичай наголос ставиться на залученні іноземних інвестицій та гарантії їх захисту. Водночас значний потенціал мають внутрішні інвестиції, адже, на відміну від зовнішніх інвесторів, які в несприятливих умовах можуть виводити інвестиції з країни, внутрішні інвестиції залишаються в країні і мають розглядатися законодавцем як важливий фактор розвитку економіки. Так, сама можливість корпоративного інвестування свого часу дала поштовх стрімкому розвитку приватного корпоративного сектору та приватизації державних підприємств через їх корпоратизацію (яка, втім, до очікуваних результатів загалом не призвела, не в останню чергу і через недосконалість та непродуманість нормативного забезпечення). І</w:t>
      </w:r>
      <w:r w:rsidRPr="00C123C8">
        <w:rPr>
          <w:rFonts w:ascii="Times New Roman" w:hAnsi="Times New Roman" w:cs="Times New Roman"/>
          <w:sz w:val="28"/>
          <w:szCs w:val="28"/>
          <w:lang w:val="uk-UA"/>
        </w:rPr>
        <w:t>нститут</w:t>
      </w:r>
      <w:r>
        <w:rPr>
          <w:rFonts w:ascii="Times New Roman" w:hAnsi="Times New Roman" w:cs="Times New Roman"/>
          <w:sz w:val="28"/>
          <w:szCs w:val="28"/>
          <w:lang w:val="uk-UA"/>
        </w:rPr>
        <w:t>и</w:t>
      </w:r>
      <w:r w:rsidRPr="00C123C8">
        <w:rPr>
          <w:rFonts w:ascii="Times New Roman" w:hAnsi="Times New Roman" w:cs="Times New Roman"/>
          <w:sz w:val="28"/>
          <w:szCs w:val="28"/>
          <w:lang w:val="uk-UA"/>
        </w:rPr>
        <w:t xml:space="preserve"> спільного інвестування</w:t>
      </w:r>
      <w:r w:rsidRPr="00955A4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w:t>
      </w:r>
      <w:r w:rsidRPr="00C123C8">
        <w:rPr>
          <w:rFonts w:ascii="Times New Roman" w:hAnsi="Times New Roman" w:cs="Times New Roman"/>
          <w:sz w:val="28"/>
          <w:szCs w:val="28"/>
          <w:lang w:val="uk-UA"/>
        </w:rPr>
        <w:t>альтернатив</w:t>
      </w:r>
      <w:r>
        <w:rPr>
          <w:rFonts w:ascii="Times New Roman" w:hAnsi="Times New Roman" w:cs="Times New Roman"/>
          <w:sz w:val="28"/>
          <w:szCs w:val="28"/>
          <w:lang w:val="uk-UA"/>
        </w:rPr>
        <w:t>а</w:t>
      </w:r>
      <w:r w:rsidRPr="00C123C8">
        <w:rPr>
          <w:rFonts w:ascii="Times New Roman" w:hAnsi="Times New Roman" w:cs="Times New Roman"/>
          <w:sz w:val="28"/>
          <w:szCs w:val="28"/>
          <w:lang w:val="uk-UA"/>
        </w:rPr>
        <w:t xml:space="preserve"> традиційним формам заощадження коштів (їх зберіганню на депозитах в банківських установах або самостійному інвестуванню коштів на фондовому ринку) </w:t>
      </w:r>
      <w:r>
        <w:rPr>
          <w:rFonts w:ascii="Times New Roman" w:hAnsi="Times New Roman" w:cs="Times New Roman"/>
          <w:sz w:val="28"/>
          <w:szCs w:val="28"/>
          <w:lang w:val="uk-UA"/>
        </w:rPr>
        <w:t>сприяють</w:t>
      </w:r>
      <w:r w:rsidRPr="00C123C8">
        <w:rPr>
          <w:rFonts w:ascii="Times New Roman" w:hAnsi="Times New Roman" w:cs="Times New Roman"/>
          <w:sz w:val="28"/>
          <w:szCs w:val="28"/>
          <w:lang w:val="uk-UA"/>
        </w:rPr>
        <w:t xml:space="preserve"> акумуляці</w:t>
      </w:r>
      <w:r>
        <w:rPr>
          <w:rFonts w:ascii="Times New Roman" w:hAnsi="Times New Roman" w:cs="Times New Roman"/>
          <w:sz w:val="28"/>
          <w:szCs w:val="28"/>
          <w:lang w:val="uk-UA"/>
        </w:rPr>
        <w:t>ї</w:t>
      </w:r>
      <w:r w:rsidRPr="00C123C8">
        <w:rPr>
          <w:rFonts w:ascii="Times New Roman" w:hAnsi="Times New Roman" w:cs="Times New Roman"/>
          <w:sz w:val="28"/>
          <w:szCs w:val="28"/>
          <w:lang w:val="uk-UA"/>
        </w:rPr>
        <w:t xml:space="preserve"> коштів фізичних та юридичних осіб та їх залучення в інвестиційну діяльність шляхом розміщення в цінні папери емітентів-суб’єктів господарювання</w:t>
      </w:r>
      <w:r>
        <w:rPr>
          <w:rFonts w:ascii="Times New Roman" w:hAnsi="Times New Roman" w:cs="Times New Roman"/>
          <w:sz w:val="28"/>
          <w:szCs w:val="28"/>
          <w:lang w:val="uk-UA"/>
        </w:rPr>
        <w:t xml:space="preserve"> та інші об’єкти інвестиційної діяльності</w:t>
      </w:r>
      <w:r w:rsidRPr="00C123C8">
        <w:rPr>
          <w:rFonts w:ascii="Times New Roman" w:hAnsi="Times New Roman" w:cs="Times New Roman"/>
          <w:sz w:val="28"/>
          <w:szCs w:val="28"/>
          <w:lang w:val="uk-UA"/>
        </w:rPr>
        <w:t xml:space="preserve">. Завдяки об’єднанню в інвестиційні фонди коштів розрізнених дрібних інвесторів фінансовий посередник, який управляє ними на професійних засадах, може інвестувати кошти ефективніше, аніж індивідуальний інвестор, завдяки чому підвищується рівень доходності вкладеного капіталу, хоча і зростає </w:t>
      </w:r>
      <w:proofErr w:type="spellStart"/>
      <w:r w:rsidRPr="00C123C8">
        <w:rPr>
          <w:rFonts w:ascii="Times New Roman" w:hAnsi="Times New Roman" w:cs="Times New Roman"/>
          <w:sz w:val="28"/>
          <w:szCs w:val="28"/>
          <w:lang w:val="uk-UA"/>
        </w:rPr>
        <w:t>ризиковість</w:t>
      </w:r>
      <w:proofErr w:type="spellEnd"/>
      <w:r w:rsidRPr="00C123C8">
        <w:rPr>
          <w:rFonts w:ascii="Times New Roman" w:hAnsi="Times New Roman" w:cs="Times New Roman"/>
          <w:sz w:val="28"/>
          <w:szCs w:val="28"/>
          <w:lang w:val="uk-UA"/>
        </w:rPr>
        <w:t xml:space="preserve"> вкладення</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порівняно, наприклад, із розміщенням коштів у депозит у банку</w:t>
      </w:r>
      <w:r w:rsidRPr="00C123C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Важливою сферою інвестування пенсійних накопичень громадян, яка має шанс розвинутися лише із масштабною реформою системи пенсійного забезпечення, має розглядатися діяльність недержавних пенсійних фондів. Втім на цей час недержавні пенсійні фонди в Україні стабільно не працюють через низьку фінансову грамотність громадян, недостатній рішень їх поінформованості, </w:t>
      </w:r>
      <w:r w:rsidRPr="005D0ADD">
        <w:rPr>
          <w:rFonts w:ascii="Times New Roman" w:hAnsi="Times New Roman" w:cs="Times New Roman"/>
          <w:sz w:val="28"/>
          <w:szCs w:val="28"/>
          <w:lang w:val="uk-UA"/>
        </w:rPr>
        <w:t>відсутніст</w:t>
      </w:r>
      <w:r>
        <w:rPr>
          <w:rFonts w:ascii="Times New Roman" w:hAnsi="Times New Roman" w:cs="Times New Roman"/>
          <w:sz w:val="28"/>
          <w:szCs w:val="28"/>
          <w:lang w:val="uk-UA"/>
        </w:rPr>
        <w:t>ь</w:t>
      </w:r>
      <w:r w:rsidRPr="005D0ADD">
        <w:rPr>
          <w:rFonts w:ascii="Times New Roman" w:hAnsi="Times New Roman" w:cs="Times New Roman"/>
          <w:sz w:val="28"/>
          <w:szCs w:val="28"/>
          <w:lang w:val="uk-UA"/>
        </w:rPr>
        <w:t xml:space="preserve"> ефективних механізмів виведення з ринків проблемних фінансових установ, які не виконують свої зобов’язання перед учасниками недержавного пенсійного забезпечення і тим самим створюють суттєві системні ризики</w:t>
      </w:r>
      <w:r>
        <w:rPr>
          <w:rFonts w:ascii="Times New Roman" w:hAnsi="Times New Roman" w:cs="Times New Roman"/>
          <w:sz w:val="28"/>
          <w:szCs w:val="28"/>
          <w:lang w:val="uk-UA"/>
        </w:rPr>
        <w:t xml:space="preserve"> </w:t>
      </w:r>
      <w:r w:rsidRPr="000A5F9A">
        <w:rPr>
          <w:rFonts w:ascii="Times New Roman" w:hAnsi="Times New Roman" w:cs="Times New Roman"/>
          <w:sz w:val="28"/>
          <w:szCs w:val="28"/>
          <w:lang w:val="uk-UA"/>
        </w:rPr>
        <w:t xml:space="preserve">[1, </w:t>
      </w:r>
      <w:r>
        <w:rPr>
          <w:rFonts w:ascii="Times New Roman" w:hAnsi="Times New Roman" w:cs="Times New Roman"/>
          <w:sz w:val="28"/>
          <w:szCs w:val="28"/>
          <w:lang w:val="uk-UA"/>
        </w:rPr>
        <w:t>с. 373</w:t>
      </w:r>
      <w:r w:rsidRPr="000A5F9A">
        <w:rPr>
          <w:rFonts w:ascii="Times New Roman" w:hAnsi="Times New Roman" w:cs="Times New Roman"/>
          <w:sz w:val="28"/>
          <w:szCs w:val="28"/>
          <w:lang w:val="uk-UA"/>
        </w:rPr>
        <w:t>]</w:t>
      </w:r>
      <w:r w:rsidRPr="005D0ADD">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На цей час до тих проблем функціонування ринків небанківських фінансових послуг в Україні, які певний час накопичувались до початку широкомасштабного вторгнення рф в Україні і які загострились в умовах війни, додались нові виклики, пов’язані із агресією та важкими економічними втратами країни і значним ускладненням демографічної ситуації. Тому повоєнне відновлення України потребуватиме функціонування ефективних механізмів формування фінансових ресурсів на ринку капіталу, страхових послуг і інвестиційних послуг, причому кожен з цих ринків має свою специфіку та системні ризики.</w:t>
      </w:r>
    </w:p>
    <w:p w:rsidR="00A849A0" w:rsidRDefault="00A849A0" w:rsidP="008E506D">
      <w:pPr>
        <w:spacing w:line="30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узагальнити те спільне, що притаманно цим ринкам, можна виділити декілька основних напрямів забезпечення прав внутрішніх інвесторів на основі імплементації актів Європейського Союзу у цій сфері. Перший напрям </w:t>
      </w:r>
      <w:r w:rsidR="0070290B">
        <w:rPr>
          <w:rFonts w:ascii="Times New Roman" w:hAnsi="Times New Roman" w:cs="Times New Roman"/>
          <w:sz w:val="28"/>
          <w:szCs w:val="28"/>
          <w:lang w:val="uk-UA"/>
        </w:rPr>
        <w:t xml:space="preserve">- це </w:t>
      </w:r>
      <w:r>
        <w:rPr>
          <w:rFonts w:ascii="Times New Roman" w:hAnsi="Times New Roman" w:cs="Times New Roman"/>
          <w:sz w:val="28"/>
          <w:szCs w:val="28"/>
          <w:lang w:val="uk-UA"/>
        </w:rPr>
        <w:t xml:space="preserve">забезпечення інституційної спроможності регуляторного органу та ефективного державного контролю за діяльністю цих ринків. </w:t>
      </w:r>
      <w:r w:rsidRPr="00B73688">
        <w:rPr>
          <w:rFonts w:ascii="Times New Roman" w:hAnsi="Times New Roman" w:cs="Times New Roman"/>
          <w:sz w:val="28"/>
          <w:szCs w:val="28"/>
          <w:lang w:val="uk-UA"/>
        </w:rPr>
        <w:t>Закон</w:t>
      </w:r>
      <w:r>
        <w:rPr>
          <w:rFonts w:ascii="Times New Roman" w:hAnsi="Times New Roman" w:cs="Times New Roman"/>
          <w:sz w:val="28"/>
          <w:szCs w:val="28"/>
          <w:lang w:val="uk-UA"/>
        </w:rPr>
        <w:t>ом</w:t>
      </w:r>
      <w:r w:rsidRPr="00B73688">
        <w:rPr>
          <w:rFonts w:ascii="Times New Roman" w:hAnsi="Times New Roman" w:cs="Times New Roman"/>
          <w:sz w:val="28"/>
          <w:szCs w:val="28"/>
          <w:lang w:val="uk-UA"/>
        </w:rPr>
        <w:t xml:space="preserve"> України «Про фінансові послуги та фінансові компанії»</w:t>
      </w:r>
      <w:r>
        <w:rPr>
          <w:rFonts w:ascii="Times New Roman" w:hAnsi="Times New Roman" w:cs="Times New Roman"/>
          <w:sz w:val="28"/>
          <w:szCs w:val="28"/>
          <w:lang w:val="uk-UA"/>
        </w:rPr>
        <w:t xml:space="preserve"> від </w:t>
      </w:r>
      <w:r w:rsidRPr="00B73688">
        <w:rPr>
          <w:rFonts w:ascii="Times New Roman" w:hAnsi="Times New Roman" w:cs="Times New Roman"/>
          <w:sz w:val="28"/>
          <w:szCs w:val="28"/>
          <w:lang w:val="uk-UA"/>
        </w:rPr>
        <w:t xml:space="preserve">14 грудня 2021 р. </w:t>
      </w:r>
      <w:r w:rsidRPr="00EF2173">
        <w:rPr>
          <w:rFonts w:ascii="Times New Roman" w:eastAsia="Times New Roman" w:hAnsi="Times New Roman" w:cs="Times New Roman"/>
          <w:sz w:val="28"/>
          <w:szCs w:val="28"/>
          <w:lang w:val="uk-UA"/>
        </w:rPr>
        <w:t>Н</w:t>
      </w:r>
      <w:r>
        <w:rPr>
          <w:rFonts w:ascii="Times New Roman" w:eastAsia="Times New Roman" w:hAnsi="Times New Roman" w:cs="Times New Roman"/>
          <w:sz w:val="28"/>
          <w:szCs w:val="28"/>
          <w:lang w:val="uk-UA"/>
        </w:rPr>
        <w:t xml:space="preserve">аціональному банку України в рамках виконання вимог МВФ щодо «спліту» </w:t>
      </w:r>
      <w:r w:rsidRPr="00EF2173">
        <w:rPr>
          <w:rFonts w:ascii="Times New Roman" w:eastAsia="Times New Roman" w:hAnsi="Times New Roman" w:cs="Times New Roman"/>
          <w:sz w:val="28"/>
          <w:szCs w:val="28"/>
          <w:lang w:val="uk-UA"/>
        </w:rPr>
        <w:t>були передані невластиві центральному банку функції нагляду за небанківськими фінансовими установами</w:t>
      </w:r>
      <w:r>
        <w:rPr>
          <w:rFonts w:ascii="Times New Roman" w:eastAsia="Times New Roman" w:hAnsi="Times New Roman" w:cs="Times New Roman"/>
          <w:sz w:val="28"/>
          <w:szCs w:val="28"/>
          <w:lang w:val="uk-UA"/>
        </w:rPr>
        <w:t xml:space="preserve">. І хоча наразі сам регулятор оцінює свою діяльність в цій сфері позитивно, можна </w:t>
      </w:r>
      <w:r w:rsidR="008E5E17">
        <w:rPr>
          <w:rFonts w:ascii="Times New Roman" w:eastAsia="Times New Roman" w:hAnsi="Times New Roman" w:cs="Times New Roman"/>
          <w:sz w:val="28"/>
          <w:szCs w:val="28"/>
          <w:lang w:val="uk-UA"/>
        </w:rPr>
        <w:t xml:space="preserve">відзначити </w:t>
      </w:r>
      <w:r>
        <w:rPr>
          <w:rFonts w:ascii="Times New Roman" w:eastAsia="Times New Roman" w:hAnsi="Times New Roman" w:cs="Times New Roman"/>
          <w:sz w:val="28"/>
          <w:szCs w:val="28"/>
          <w:lang w:val="uk-UA"/>
        </w:rPr>
        <w:t xml:space="preserve">послаблення регуляторних вимог з боку НБУ, а також НКЦПФР, зокрема, </w:t>
      </w:r>
      <w:r>
        <w:rPr>
          <w:rFonts w:ascii="Times New Roman" w:hAnsi="Times New Roman" w:cs="Times New Roman"/>
          <w:sz w:val="28"/>
          <w:szCs w:val="28"/>
          <w:lang w:val="uk-UA"/>
        </w:rPr>
        <w:t xml:space="preserve">в частині </w:t>
      </w:r>
      <w:r w:rsidRPr="00B73688">
        <w:rPr>
          <w:rFonts w:ascii="Times New Roman" w:hAnsi="Times New Roman" w:cs="Times New Roman"/>
          <w:sz w:val="28"/>
          <w:szCs w:val="28"/>
          <w:lang w:val="uk-UA"/>
        </w:rPr>
        <w:t>спрощення процедури доступу фінансових компаній на ринок фінансових послуг шляхом зменшення вимог щодо легалізації таких компаній</w:t>
      </w:r>
      <w:r>
        <w:rPr>
          <w:rFonts w:ascii="Times New Roman" w:eastAsia="Times New Roman" w:hAnsi="Times New Roman" w:cs="Times New Roman"/>
          <w:sz w:val="28"/>
          <w:szCs w:val="28"/>
          <w:lang w:val="uk-UA"/>
        </w:rPr>
        <w:t xml:space="preserve">. Як в умовах </w:t>
      </w:r>
      <w:r>
        <w:rPr>
          <w:rFonts w:ascii="Times New Roman" w:hAnsi="Times New Roman" w:cs="Times New Roman"/>
          <w:sz w:val="28"/>
          <w:szCs w:val="28"/>
          <w:lang w:val="uk-UA"/>
        </w:rPr>
        <w:t xml:space="preserve">війни України за незалежність та з огляду на вимоги санкційного законодавства, </w:t>
      </w:r>
      <w:r w:rsidRPr="0026178B">
        <w:rPr>
          <w:rFonts w:ascii="Times New Roman" w:hAnsi="Times New Roman" w:cs="Times New Roman"/>
          <w:sz w:val="28"/>
          <w:szCs w:val="28"/>
          <w:lang w:val="uk-UA"/>
        </w:rPr>
        <w:t>Закон</w:t>
      </w:r>
      <w:r>
        <w:rPr>
          <w:rFonts w:ascii="Times New Roman" w:hAnsi="Times New Roman" w:cs="Times New Roman"/>
          <w:sz w:val="28"/>
          <w:szCs w:val="28"/>
          <w:lang w:val="uk-UA"/>
        </w:rPr>
        <w:t>у</w:t>
      </w:r>
      <w:r w:rsidRPr="0026178B">
        <w:rPr>
          <w:rFonts w:ascii="Times New Roman" w:hAnsi="Times New Roman" w:cs="Times New Roman"/>
          <w:sz w:val="28"/>
          <w:szCs w:val="28"/>
          <w:lang w:val="uk-UA"/>
        </w:rPr>
        <w:t xml:space="preserve">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w:t>
      </w:r>
      <w:r w:rsidRPr="0026178B">
        <w:rPr>
          <w:rFonts w:ascii="Times New Roman" w:hAnsi="Times New Roman" w:cs="Times New Roman"/>
          <w:sz w:val="28"/>
          <w:szCs w:val="28"/>
          <w:lang w:val="uk-UA"/>
        </w:rPr>
        <w:lastRenderedPageBreak/>
        <w:t>знищення</w:t>
      </w:r>
      <w:r>
        <w:rPr>
          <w:rFonts w:ascii="Times New Roman" w:hAnsi="Times New Roman" w:cs="Times New Roman"/>
          <w:sz w:val="28"/>
          <w:szCs w:val="28"/>
          <w:lang w:val="uk-UA"/>
        </w:rPr>
        <w:t xml:space="preserve">», так і в період повоєнного відновлення законодавець не </w:t>
      </w:r>
      <w:r w:rsidR="008E5E17">
        <w:rPr>
          <w:rFonts w:ascii="Times New Roman" w:hAnsi="Times New Roman" w:cs="Times New Roman"/>
          <w:sz w:val="28"/>
          <w:szCs w:val="28"/>
          <w:lang w:val="uk-UA"/>
        </w:rPr>
        <w:t xml:space="preserve">повинен </w:t>
      </w:r>
      <w:r>
        <w:rPr>
          <w:rFonts w:ascii="Times New Roman" w:hAnsi="Times New Roman" w:cs="Times New Roman"/>
          <w:sz w:val="28"/>
          <w:szCs w:val="28"/>
          <w:lang w:val="uk-UA"/>
        </w:rPr>
        <w:t xml:space="preserve">допускати будь-якого впливу на акумуляцію і перерозподіл фінансових ресурсів в країні з боку власників істотної участі/кінцевих </w:t>
      </w:r>
      <w:proofErr w:type="spellStart"/>
      <w:r>
        <w:rPr>
          <w:rFonts w:ascii="Times New Roman" w:hAnsi="Times New Roman" w:cs="Times New Roman"/>
          <w:sz w:val="28"/>
          <w:szCs w:val="28"/>
          <w:lang w:val="uk-UA"/>
        </w:rPr>
        <w:t>бенефіціарних</w:t>
      </w:r>
      <w:proofErr w:type="spellEnd"/>
      <w:r>
        <w:rPr>
          <w:rFonts w:ascii="Times New Roman" w:hAnsi="Times New Roman" w:cs="Times New Roman"/>
          <w:sz w:val="28"/>
          <w:szCs w:val="28"/>
          <w:lang w:val="uk-UA"/>
        </w:rPr>
        <w:t xml:space="preserve"> власників </w:t>
      </w:r>
      <w:proofErr w:type="spellStart"/>
      <w:r>
        <w:rPr>
          <w:rFonts w:ascii="Times New Roman" w:hAnsi="Times New Roman" w:cs="Times New Roman"/>
          <w:sz w:val="28"/>
          <w:szCs w:val="28"/>
          <w:lang w:val="uk-UA"/>
        </w:rPr>
        <w:t>країни-агресорки</w:t>
      </w:r>
      <w:proofErr w:type="spellEnd"/>
      <w:r>
        <w:rPr>
          <w:rFonts w:ascii="Times New Roman" w:hAnsi="Times New Roman" w:cs="Times New Roman"/>
          <w:sz w:val="28"/>
          <w:szCs w:val="28"/>
          <w:lang w:val="uk-UA"/>
        </w:rPr>
        <w:t xml:space="preserve">. Другим основним напрямком має бути захист прав, насамперед, інформаційних, клієнтів ринків небанківських фінансових послуг </w:t>
      </w:r>
      <w:r w:rsidR="00C47B70">
        <w:rPr>
          <w:rFonts w:ascii="Times New Roman" w:hAnsi="Times New Roman" w:cs="Times New Roman"/>
          <w:sz w:val="28"/>
          <w:szCs w:val="28"/>
          <w:lang w:val="uk-UA"/>
        </w:rPr>
        <w:t>та</w:t>
      </w:r>
      <w:r w:rsidR="00C47B70">
        <w:rPr>
          <w:rFonts w:ascii="Times New Roman" w:hAnsi="Times New Roman" w:cs="Times New Roman"/>
          <w:sz w:val="28"/>
          <w:szCs w:val="28"/>
          <w:lang w:val="uk-UA"/>
        </w:rPr>
        <w:t xml:space="preserve"> подолання </w:t>
      </w:r>
      <w:r>
        <w:rPr>
          <w:rFonts w:ascii="Times New Roman" w:hAnsi="Times New Roman" w:cs="Times New Roman"/>
          <w:sz w:val="28"/>
          <w:szCs w:val="28"/>
          <w:lang w:val="uk-UA"/>
        </w:rPr>
        <w:t xml:space="preserve">цифрової бідності громадян України, створення компенсаційних механізмів </w:t>
      </w:r>
      <w:r w:rsidRPr="00DC4D52">
        <w:rPr>
          <w:rFonts w:ascii="Times New Roman" w:hAnsi="Times New Roman"/>
          <w:sz w:val="28"/>
          <w:szCs w:val="28"/>
          <w:lang w:val="uk-UA"/>
        </w:rPr>
        <w:t>на засадах справедливості</w:t>
      </w:r>
      <w:r>
        <w:rPr>
          <w:rFonts w:ascii="Times New Roman" w:hAnsi="Times New Roman"/>
          <w:sz w:val="28"/>
          <w:szCs w:val="28"/>
          <w:lang w:val="uk-UA"/>
        </w:rPr>
        <w:t xml:space="preserve"> з метою </w:t>
      </w:r>
      <w:r w:rsidRPr="00DC4D52">
        <w:rPr>
          <w:rFonts w:ascii="Times New Roman" w:hAnsi="Times New Roman"/>
          <w:sz w:val="28"/>
          <w:szCs w:val="28"/>
          <w:lang w:val="uk-UA"/>
        </w:rPr>
        <w:t>гарант</w:t>
      </w:r>
      <w:r>
        <w:rPr>
          <w:rFonts w:ascii="Times New Roman" w:hAnsi="Times New Roman"/>
          <w:sz w:val="28"/>
          <w:szCs w:val="28"/>
          <w:lang w:val="uk-UA"/>
        </w:rPr>
        <w:t>ування</w:t>
      </w:r>
      <w:r w:rsidRPr="00DC4D52">
        <w:rPr>
          <w:rFonts w:ascii="Times New Roman" w:hAnsi="Times New Roman"/>
          <w:sz w:val="28"/>
          <w:szCs w:val="28"/>
          <w:lang w:val="uk-UA"/>
        </w:rPr>
        <w:t xml:space="preserve"> повернення пенсійних активів та </w:t>
      </w:r>
      <w:r>
        <w:rPr>
          <w:rFonts w:ascii="Times New Roman" w:hAnsi="Times New Roman"/>
          <w:sz w:val="28"/>
          <w:szCs w:val="28"/>
          <w:lang w:val="uk-UA"/>
        </w:rPr>
        <w:t>їх</w:t>
      </w:r>
      <w:r w:rsidRPr="00DC4D52">
        <w:rPr>
          <w:rFonts w:ascii="Times New Roman" w:hAnsi="Times New Roman"/>
          <w:sz w:val="28"/>
          <w:szCs w:val="28"/>
          <w:lang w:val="uk-UA"/>
        </w:rPr>
        <w:t xml:space="preserve"> доходності за об’єктами інвестування</w:t>
      </w:r>
      <w:r>
        <w:rPr>
          <w:rFonts w:ascii="Times New Roman" w:hAnsi="Times New Roman" w:cs="Times New Roman"/>
          <w:sz w:val="28"/>
          <w:szCs w:val="28"/>
          <w:lang w:val="uk-UA"/>
        </w:rPr>
        <w:t xml:space="preserve"> у сфері недержавного пенсійного забезпечення </w:t>
      </w:r>
      <w:r w:rsidRPr="000A5F9A">
        <w:rPr>
          <w:rFonts w:ascii="Times New Roman" w:hAnsi="Times New Roman" w:cs="Times New Roman"/>
          <w:sz w:val="28"/>
          <w:szCs w:val="28"/>
          <w:lang w:val="uk-UA"/>
        </w:rPr>
        <w:t xml:space="preserve">[1, </w:t>
      </w:r>
      <w:r>
        <w:rPr>
          <w:rFonts w:ascii="Times New Roman" w:hAnsi="Times New Roman" w:cs="Times New Roman"/>
          <w:sz w:val="28"/>
          <w:szCs w:val="28"/>
          <w:lang w:val="uk-UA"/>
        </w:rPr>
        <w:t>с. 364</w:t>
      </w:r>
      <w:r w:rsidRPr="000A5F9A">
        <w:rPr>
          <w:rFonts w:ascii="Times New Roman" w:hAnsi="Times New Roman" w:cs="Times New Roman"/>
          <w:sz w:val="28"/>
          <w:szCs w:val="28"/>
          <w:lang w:val="uk-UA"/>
        </w:rPr>
        <w:t>]</w:t>
      </w:r>
      <w:r>
        <w:rPr>
          <w:rFonts w:ascii="Times New Roman" w:hAnsi="Times New Roman" w:cs="Times New Roman"/>
          <w:sz w:val="28"/>
          <w:szCs w:val="28"/>
          <w:lang w:val="uk-UA"/>
        </w:rPr>
        <w:t xml:space="preserve">. Нормами ст. 6 Закону України «Про фінансові послуги і фінансові компанії» на цей час визначено інформаційні права клієнта </w:t>
      </w:r>
      <w:r w:rsidRPr="006C7287">
        <w:rPr>
          <w:rFonts w:ascii="Times New Roman" w:hAnsi="Times New Roman" w:cs="Times New Roman"/>
          <w:sz w:val="28"/>
          <w:szCs w:val="28"/>
          <w:lang w:val="uk-UA"/>
        </w:rPr>
        <w:t>перед та під час отримання фінансової</w:t>
      </w:r>
      <w:r>
        <w:rPr>
          <w:rFonts w:ascii="Times New Roman" w:hAnsi="Times New Roman" w:cs="Times New Roman"/>
          <w:sz w:val="28"/>
          <w:szCs w:val="28"/>
          <w:lang w:val="uk-UA"/>
        </w:rPr>
        <w:t xml:space="preserve">/посередницької послуги. Водночас, в зазначеній статті закріплено і обов’язки клієнта щодо </w:t>
      </w:r>
      <w:r w:rsidRPr="006C7287">
        <w:rPr>
          <w:rFonts w:ascii="Times New Roman" w:hAnsi="Times New Roman" w:cs="Times New Roman"/>
          <w:sz w:val="28"/>
          <w:szCs w:val="28"/>
          <w:lang w:val="uk-UA"/>
        </w:rPr>
        <w:t>відповідально</w:t>
      </w:r>
      <w:r>
        <w:rPr>
          <w:rFonts w:ascii="Times New Roman" w:hAnsi="Times New Roman" w:cs="Times New Roman"/>
          <w:sz w:val="28"/>
          <w:szCs w:val="28"/>
          <w:lang w:val="uk-UA"/>
        </w:rPr>
        <w:t>го</w:t>
      </w:r>
      <w:r w:rsidRPr="006C7287">
        <w:rPr>
          <w:rFonts w:ascii="Times New Roman" w:hAnsi="Times New Roman" w:cs="Times New Roman"/>
          <w:sz w:val="28"/>
          <w:szCs w:val="28"/>
          <w:lang w:val="uk-UA"/>
        </w:rPr>
        <w:t xml:space="preserve"> об</w:t>
      </w:r>
      <w:r>
        <w:rPr>
          <w:rFonts w:ascii="Times New Roman" w:hAnsi="Times New Roman" w:cs="Times New Roman"/>
          <w:sz w:val="28"/>
          <w:szCs w:val="28"/>
          <w:lang w:val="uk-UA"/>
        </w:rPr>
        <w:t>рання</w:t>
      </w:r>
      <w:r w:rsidRPr="006C7287">
        <w:rPr>
          <w:rFonts w:ascii="Times New Roman" w:hAnsi="Times New Roman" w:cs="Times New Roman"/>
          <w:sz w:val="28"/>
          <w:szCs w:val="28"/>
          <w:lang w:val="uk-UA"/>
        </w:rPr>
        <w:t xml:space="preserve"> послуг</w:t>
      </w:r>
      <w:r>
        <w:rPr>
          <w:rFonts w:ascii="Times New Roman" w:hAnsi="Times New Roman" w:cs="Times New Roman"/>
          <w:sz w:val="28"/>
          <w:szCs w:val="28"/>
          <w:lang w:val="uk-UA"/>
        </w:rPr>
        <w:t>и,</w:t>
      </w:r>
      <w:r w:rsidRPr="006C7287">
        <w:rPr>
          <w:rFonts w:ascii="Times New Roman" w:hAnsi="Times New Roman" w:cs="Times New Roman"/>
          <w:sz w:val="28"/>
          <w:szCs w:val="28"/>
          <w:lang w:val="uk-UA"/>
        </w:rPr>
        <w:t xml:space="preserve"> ознайомл</w:t>
      </w:r>
      <w:r>
        <w:rPr>
          <w:rFonts w:ascii="Times New Roman" w:hAnsi="Times New Roman" w:cs="Times New Roman"/>
          <w:sz w:val="28"/>
          <w:szCs w:val="28"/>
          <w:lang w:val="uk-UA"/>
        </w:rPr>
        <w:t xml:space="preserve">ення </w:t>
      </w:r>
      <w:r w:rsidRPr="006C7287">
        <w:rPr>
          <w:rFonts w:ascii="Times New Roman" w:hAnsi="Times New Roman" w:cs="Times New Roman"/>
          <w:sz w:val="28"/>
          <w:szCs w:val="28"/>
          <w:lang w:val="uk-UA"/>
        </w:rPr>
        <w:t>із інформацією про умови та порядок її надання</w:t>
      </w:r>
      <w:r>
        <w:rPr>
          <w:rFonts w:ascii="Times New Roman" w:hAnsi="Times New Roman" w:cs="Times New Roman"/>
          <w:sz w:val="28"/>
          <w:szCs w:val="28"/>
          <w:lang w:val="uk-UA"/>
        </w:rPr>
        <w:t xml:space="preserve">, врахування власних можливостей </w:t>
      </w:r>
      <w:r w:rsidRPr="006C7287">
        <w:rPr>
          <w:rFonts w:ascii="Times New Roman" w:hAnsi="Times New Roman" w:cs="Times New Roman"/>
          <w:sz w:val="28"/>
          <w:szCs w:val="28"/>
          <w:lang w:val="uk-UA"/>
        </w:rPr>
        <w:t>щодо виконання взятих на себе зобов</w:t>
      </w:r>
      <w:r>
        <w:rPr>
          <w:rFonts w:ascii="Times New Roman" w:hAnsi="Times New Roman" w:cs="Times New Roman"/>
          <w:sz w:val="28"/>
          <w:szCs w:val="28"/>
          <w:lang w:val="uk-UA"/>
        </w:rPr>
        <w:t>’</w:t>
      </w:r>
      <w:r w:rsidRPr="006C7287">
        <w:rPr>
          <w:rFonts w:ascii="Times New Roman" w:hAnsi="Times New Roman" w:cs="Times New Roman"/>
          <w:sz w:val="28"/>
          <w:szCs w:val="28"/>
          <w:lang w:val="uk-UA"/>
        </w:rPr>
        <w:t>язань у зв</w:t>
      </w:r>
      <w:r>
        <w:rPr>
          <w:rFonts w:ascii="Times New Roman" w:hAnsi="Times New Roman" w:cs="Times New Roman"/>
          <w:sz w:val="28"/>
          <w:szCs w:val="28"/>
          <w:lang w:val="uk-UA"/>
        </w:rPr>
        <w:t>’</w:t>
      </w:r>
      <w:r w:rsidRPr="006C7287">
        <w:rPr>
          <w:rFonts w:ascii="Times New Roman" w:hAnsi="Times New Roman" w:cs="Times New Roman"/>
          <w:sz w:val="28"/>
          <w:szCs w:val="28"/>
          <w:lang w:val="uk-UA"/>
        </w:rPr>
        <w:t>язку з отриманням такої послуги</w:t>
      </w:r>
      <w:r>
        <w:rPr>
          <w:rFonts w:ascii="Times New Roman" w:hAnsi="Times New Roman" w:cs="Times New Roman"/>
          <w:sz w:val="28"/>
          <w:szCs w:val="28"/>
          <w:lang w:val="uk-UA"/>
        </w:rPr>
        <w:t xml:space="preserve">, отримання у </w:t>
      </w:r>
      <w:r w:rsidRPr="006C7287">
        <w:rPr>
          <w:rFonts w:ascii="Times New Roman" w:hAnsi="Times New Roman" w:cs="Times New Roman"/>
          <w:sz w:val="28"/>
          <w:szCs w:val="28"/>
          <w:lang w:val="uk-UA"/>
        </w:rPr>
        <w:t xml:space="preserve">разі необхідності </w:t>
      </w:r>
      <w:r>
        <w:rPr>
          <w:rFonts w:ascii="Times New Roman" w:hAnsi="Times New Roman" w:cs="Times New Roman"/>
          <w:sz w:val="28"/>
          <w:szCs w:val="28"/>
          <w:lang w:val="uk-UA"/>
        </w:rPr>
        <w:t xml:space="preserve">від </w:t>
      </w:r>
      <w:r w:rsidRPr="006C7287">
        <w:rPr>
          <w:rFonts w:ascii="Times New Roman" w:hAnsi="Times New Roman" w:cs="Times New Roman"/>
          <w:sz w:val="28"/>
          <w:szCs w:val="28"/>
          <w:lang w:val="uk-UA"/>
        </w:rPr>
        <w:t>надавача послуги роз</w:t>
      </w:r>
      <w:r>
        <w:rPr>
          <w:rFonts w:ascii="Times New Roman" w:hAnsi="Times New Roman" w:cs="Times New Roman"/>
          <w:sz w:val="28"/>
          <w:szCs w:val="28"/>
          <w:lang w:val="uk-UA"/>
        </w:rPr>
        <w:t>’</w:t>
      </w:r>
      <w:r w:rsidRPr="006C7287">
        <w:rPr>
          <w:rFonts w:ascii="Times New Roman" w:hAnsi="Times New Roman" w:cs="Times New Roman"/>
          <w:sz w:val="28"/>
          <w:szCs w:val="28"/>
          <w:lang w:val="uk-UA"/>
        </w:rPr>
        <w:t>яснення умов надання послуги перед її отриманням</w:t>
      </w:r>
      <w:r>
        <w:rPr>
          <w:rFonts w:ascii="Times New Roman" w:hAnsi="Times New Roman" w:cs="Times New Roman"/>
          <w:sz w:val="28"/>
          <w:szCs w:val="28"/>
          <w:lang w:val="uk-UA"/>
        </w:rPr>
        <w:t xml:space="preserve">. У відносинах клієнтів із небанківськими фінансовими установами, які пропонують доволі складні інвестиційні продукти, яскраво </w:t>
      </w:r>
      <w:r w:rsidR="008E5E17">
        <w:rPr>
          <w:rFonts w:ascii="Times New Roman" w:hAnsi="Times New Roman" w:cs="Times New Roman"/>
          <w:sz w:val="28"/>
          <w:szCs w:val="28"/>
          <w:lang w:val="uk-UA"/>
        </w:rPr>
        <w:t xml:space="preserve">виражені </w:t>
      </w:r>
      <w:r>
        <w:rPr>
          <w:rFonts w:ascii="Times New Roman" w:hAnsi="Times New Roman" w:cs="Times New Roman"/>
          <w:sz w:val="28"/>
          <w:szCs w:val="28"/>
          <w:lang w:val="uk-UA"/>
        </w:rPr>
        <w:t>(принаймні, в багатьох випадках) договірні диспропорції</w:t>
      </w:r>
      <w:r w:rsidR="008E5E17">
        <w:rPr>
          <w:rFonts w:ascii="Times New Roman" w:hAnsi="Times New Roman" w:cs="Times New Roman"/>
          <w:sz w:val="28"/>
          <w:szCs w:val="28"/>
          <w:lang w:val="uk-UA"/>
        </w:rPr>
        <w:t>,</w:t>
      </w:r>
      <w:r>
        <w:rPr>
          <w:rFonts w:ascii="Times New Roman" w:hAnsi="Times New Roman" w:cs="Times New Roman"/>
          <w:sz w:val="28"/>
          <w:szCs w:val="28"/>
          <w:lang w:val="uk-UA"/>
        </w:rPr>
        <w:t xml:space="preserve"> в яких контрагент фінансової установи (як фізична особа, так і інший суб’єкт господарювання) можуть не мати з нею рівної ділової компетентності та не  обізнані із специфікою функціонування того чи іншого ринку небанківських фінансових послуг. </w:t>
      </w:r>
      <w:r w:rsidR="008E506D" w:rsidRPr="008E506D">
        <w:rPr>
          <w:rFonts w:ascii="Times New Roman" w:hAnsi="Times New Roman" w:cs="Times New Roman"/>
          <w:sz w:val="28"/>
          <w:szCs w:val="28"/>
          <w:lang w:val="uk-UA"/>
        </w:rPr>
        <w:t>Конституційний Суд України вважає, що держава, встановлюючи законами України засади створення і функціонування грошового та кредитного ринків (пункт 1 частини другої статті 92 Конституції</w:t>
      </w:r>
      <w:r w:rsidR="008E506D">
        <w:rPr>
          <w:rFonts w:ascii="Times New Roman" w:hAnsi="Times New Roman" w:cs="Times New Roman"/>
          <w:sz w:val="28"/>
          <w:szCs w:val="28"/>
          <w:lang w:val="uk-UA"/>
        </w:rPr>
        <w:t xml:space="preserve"> </w:t>
      </w:r>
      <w:r w:rsidR="008E506D" w:rsidRPr="008E506D">
        <w:rPr>
          <w:rFonts w:ascii="Times New Roman" w:hAnsi="Times New Roman" w:cs="Times New Roman"/>
          <w:sz w:val="28"/>
          <w:szCs w:val="28"/>
          <w:lang w:val="uk-UA"/>
        </w:rPr>
        <w:t>України), має підтримувати на засадах пропорційності розумний баланс між публічним інтересом ефективного перерозподілу грошових накопичень, комерційними інтересами банків щодо отримання справедливого прибутку від кредитування і охоронюваними законом правами та інтересами споживачів їх кредитних послуг</w:t>
      </w:r>
      <w:r w:rsidR="008E506D">
        <w:rPr>
          <w:rFonts w:ascii="Times New Roman" w:hAnsi="Times New Roman" w:cs="Times New Roman"/>
          <w:sz w:val="28"/>
          <w:szCs w:val="28"/>
          <w:lang w:val="uk-UA"/>
        </w:rPr>
        <w:t xml:space="preserve"> [2]</w:t>
      </w:r>
      <w:r w:rsidR="008E506D" w:rsidRPr="008E506D">
        <w:rPr>
          <w:rFonts w:ascii="Times New Roman" w:hAnsi="Times New Roman" w:cs="Times New Roman"/>
          <w:sz w:val="28"/>
          <w:szCs w:val="28"/>
          <w:lang w:val="uk-UA"/>
        </w:rPr>
        <w:t>.</w:t>
      </w:r>
      <w:r w:rsidR="008E506D">
        <w:rPr>
          <w:rFonts w:ascii="Times New Roman" w:hAnsi="Times New Roman" w:cs="Times New Roman"/>
          <w:sz w:val="28"/>
          <w:szCs w:val="28"/>
          <w:lang w:val="uk-UA"/>
        </w:rPr>
        <w:t xml:space="preserve"> </w:t>
      </w:r>
      <w:r>
        <w:rPr>
          <w:rFonts w:ascii="Times New Roman" w:hAnsi="Times New Roman" w:cs="Times New Roman"/>
          <w:sz w:val="28"/>
          <w:szCs w:val="28"/>
          <w:lang w:val="uk-UA"/>
        </w:rPr>
        <w:t>Тому, враховуючи</w:t>
      </w:r>
      <w:r w:rsidRPr="00D743CE">
        <w:rPr>
          <w:rFonts w:ascii="Times New Roman" w:hAnsi="Times New Roman" w:cs="Times New Roman"/>
          <w:sz w:val="28"/>
          <w:szCs w:val="28"/>
          <w:lang w:val="uk-UA"/>
        </w:rPr>
        <w:t xml:space="preserve"> </w:t>
      </w:r>
      <w:r w:rsidRPr="004D660E">
        <w:rPr>
          <w:rFonts w:ascii="Times New Roman" w:hAnsi="Times New Roman" w:cs="Times New Roman"/>
          <w:sz w:val="28"/>
          <w:szCs w:val="28"/>
          <w:lang w:val="uk-UA"/>
        </w:rPr>
        <w:t>сформован</w:t>
      </w:r>
      <w:r>
        <w:rPr>
          <w:rFonts w:ascii="Times New Roman" w:hAnsi="Times New Roman" w:cs="Times New Roman"/>
          <w:sz w:val="28"/>
          <w:szCs w:val="28"/>
          <w:lang w:val="uk-UA"/>
        </w:rPr>
        <w:t>і у законодавстві України</w:t>
      </w:r>
      <w:r w:rsidRPr="004D660E">
        <w:rPr>
          <w:rFonts w:ascii="Times New Roman" w:hAnsi="Times New Roman" w:cs="Times New Roman"/>
          <w:sz w:val="28"/>
          <w:szCs w:val="28"/>
          <w:lang w:val="uk-UA"/>
        </w:rPr>
        <w:t xml:space="preserve"> правові механізми захисту прав </w:t>
      </w:r>
      <w:r>
        <w:rPr>
          <w:rFonts w:ascii="Times New Roman" w:hAnsi="Times New Roman" w:cs="Times New Roman"/>
          <w:sz w:val="28"/>
          <w:szCs w:val="28"/>
          <w:lang w:val="uk-UA"/>
        </w:rPr>
        <w:t>клієнт</w:t>
      </w:r>
      <w:r w:rsidRPr="004D660E">
        <w:rPr>
          <w:rFonts w:ascii="Times New Roman" w:hAnsi="Times New Roman" w:cs="Times New Roman"/>
          <w:sz w:val="28"/>
          <w:szCs w:val="28"/>
          <w:lang w:val="uk-UA"/>
        </w:rPr>
        <w:t xml:space="preserve">ів банківських послуг як слабкішої сторони у відносинах із банком </w:t>
      </w:r>
      <w:r>
        <w:rPr>
          <w:rFonts w:ascii="Times New Roman" w:hAnsi="Times New Roman" w:cs="Times New Roman"/>
          <w:sz w:val="28"/>
          <w:szCs w:val="28"/>
          <w:lang w:val="uk-UA"/>
        </w:rPr>
        <w:t>(</w:t>
      </w:r>
      <w:r w:rsidRPr="004D660E">
        <w:rPr>
          <w:rFonts w:ascii="Times New Roman" w:hAnsi="Times New Roman" w:cs="Times New Roman"/>
          <w:sz w:val="28"/>
          <w:szCs w:val="28"/>
          <w:lang w:val="uk-UA"/>
        </w:rPr>
        <w:t>у вигляді імперативних норм, які регулюють питання, зокрема, форми кредитного договору, його укладення, обмеження відповідальності, права на відмову споживача від договору про споживчий кредит, обмеження відповідальності споживача тощо</w:t>
      </w:r>
      <w:r>
        <w:rPr>
          <w:rFonts w:ascii="Times New Roman" w:hAnsi="Times New Roman" w:cs="Times New Roman"/>
          <w:sz w:val="28"/>
          <w:szCs w:val="28"/>
          <w:lang w:val="uk-UA"/>
        </w:rPr>
        <w:t xml:space="preserve">), елементами правового </w:t>
      </w:r>
      <w:r>
        <w:rPr>
          <w:rFonts w:ascii="Times New Roman" w:hAnsi="Times New Roman" w:cs="Times New Roman"/>
          <w:sz w:val="28"/>
          <w:szCs w:val="28"/>
          <w:lang w:val="uk-UA"/>
        </w:rPr>
        <w:lastRenderedPageBreak/>
        <w:t xml:space="preserve">захисту споживачів ринків небанківських фінансових послуг мають бути: 1) встановлення уповноваженими державними органами, які здійснюють контроль за господарською діяльністю у цій сфері, Типових правил імперативного характеру як актів публічного права, обов’язкових для фінансових установ; 2) усталеною судовою практикою, яка має ґрунтуватися, насамперед, на принципах справедливості, добросовісності і розумності, пріоритетності захисту прав клієнта, презумпції тлумачення змісту договору на користь слабкішої сторони. </w:t>
      </w:r>
    </w:p>
    <w:p w:rsidR="00A849A0" w:rsidRPr="001C1C77" w:rsidRDefault="00A849A0" w:rsidP="00A849A0">
      <w:pPr>
        <w:spacing w:line="300" w:lineRule="auto"/>
        <w:ind w:firstLine="851"/>
        <w:jc w:val="both"/>
        <w:rPr>
          <w:rFonts w:ascii="Times New Roman" w:hAnsi="Times New Roman" w:cs="Times New Roman"/>
          <w:sz w:val="28"/>
          <w:szCs w:val="28"/>
          <w:lang w:val="uk-UA"/>
        </w:rPr>
      </w:pPr>
      <w:r w:rsidRPr="001C1C77">
        <w:rPr>
          <w:rFonts w:ascii="Times New Roman" w:hAnsi="Times New Roman" w:cs="Times New Roman"/>
          <w:sz w:val="28"/>
          <w:szCs w:val="28"/>
          <w:lang w:val="uk-UA"/>
        </w:rPr>
        <w:t>Перелік джерел:</w:t>
      </w:r>
    </w:p>
    <w:p w:rsidR="00A849A0" w:rsidRDefault="00A849A0" w:rsidP="00A849A0">
      <w:pPr>
        <w:pStyle w:val="a3"/>
        <w:numPr>
          <w:ilvl w:val="0"/>
          <w:numId w:val="2"/>
        </w:numPr>
        <w:spacing w:line="300" w:lineRule="auto"/>
        <w:ind w:left="0" w:firstLine="851"/>
        <w:jc w:val="both"/>
        <w:rPr>
          <w:rFonts w:ascii="Times New Roman" w:hAnsi="Times New Roman" w:cs="Times New Roman"/>
          <w:sz w:val="28"/>
          <w:szCs w:val="28"/>
          <w:lang w:val="uk-UA"/>
        </w:rPr>
      </w:pPr>
      <w:r w:rsidRPr="001C1C77">
        <w:rPr>
          <w:rFonts w:ascii="Times New Roman" w:hAnsi="Times New Roman" w:cs="Times New Roman"/>
          <w:sz w:val="28"/>
          <w:szCs w:val="28"/>
          <w:lang w:val="uk-UA"/>
        </w:rPr>
        <w:t xml:space="preserve">Шовкопляс </w:t>
      </w:r>
      <w:r>
        <w:rPr>
          <w:rFonts w:ascii="Times New Roman" w:hAnsi="Times New Roman" w:cs="Times New Roman"/>
          <w:sz w:val="28"/>
          <w:szCs w:val="28"/>
          <w:lang w:val="uk-UA"/>
        </w:rPr>
        <w:t>Г.М.</w:t>
      </w:r>
      <w:r w:rsidRPr="001C1C77">
        <w:rPr>
          <w:rFonts w:ascii="Times New Roman" w:hAnsi="Times New Roman" w:cs="Times New Roman"/>
          <w:sz w:val="28"/>
          <w:szCs w:val="28"/>
          <w:lang w:val="uk-UA"/>
        </w:rPr>
        <w:t xml:space="preserve"> Господарсько-правовий контроль на ринках небанківських фінансових послуг</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Дис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д.ю.н</w:t>
      </w:r>
      <w:proofErr w:type="spellEnd"/>
      <w:r w:rsidRPr="001C1C77">
        <w:rPr>
          <w:rFonts w:ascii="Times New Roman" w:hAnsi="Times New Roman" w:cs="Times New Roman"/>
          <w:sz w:val="28"/>
          <w:szCs w:val="28"/>
          <w:lang w:val="uk-UA"/>
        </w:rPr>
        <w:t xml:space="preserve"> спеціальніст</w:t>
      </w:r>
      <w:r>
        <w:rPr>
          <w:rFonts w:ascii="Times New Roman" w:hAnsi="Times New Roman" w:cs="Times New Roman"/>
          <w:sz w:val="28"/>
          <w:szCs w:val="28"/>
          <w:lang w:val="uk-UA"/>
        </w:rPr>
        <w:t>ь</w:t>
      </w:r>
      <w:r w:rsidRPr="001C1C77">
        <w:rPr>
          <w:rFonts w:ascii="Times New Roman" w:hAnsi="Times New Roman" w:cs="Times New Roman"/>
          <w:sz w:val="28"/>
          <w:szCs w:val="28"/>
          <w:lang w:val="uk-UA"/>
        </w:rPr>
        <w:t xml:space="preserve"> 12.00.04 – господарське право; господарсько-процесуальне право</w:t>
      </w:r>
      <w:bookmarkStart w:id="0" w:name="_GoBack"/>
      <w:bookmarkEnd w:id="0"/>
      <w:r>
        <w:rPr>
          <w:rFonts w:ascii="Times New Roman" w:hAnsi="Times New Roman" w:cs="Times New Roman"/>
          <w:sz w:val="28"/>
          <w:szCs w:val="28"/>
          <w:lang w:val="uk-UA"/>
        </w:rPr>
        <w:t xml:space="preserve">. К., НДІ приватного права і підприємництва </w:t>
      </w:r>
      <w:proofErr w:type="spellStart"/>
      <w:r>
        <w:rPr>
          <w:rFonts w:ascii="Times New Roman" w:hAnsi="Times New Roman" w:cs="Times New Roman"/>
          <w:sz w:val="28"/>
          <w:szCs w:val="28"/>
          <w:lang w:val="uk-UA"/>
        </w:rPr>
        <w:t>НАПрНУ</w:t>
      </w:r>
      <w:proofErr w:type="spellEnd"/>
      <w:r>
        <w:rPr>
          <w:rFonts w:ascii="Times New Roman" w:hAnsi="Times New Roman" w:cs="Times New Roman"/>
          <w:sz w:val="28"/>
          <w:szCs w:val="28"/>
          <w:lang w:val="uk-UA"/>
        </w:rPr>
        <w:t>. 2024. 433 с.</w:t>
      </w:r>
    </w:p>
    <w:p w:rsidR="008E506D" w:rsidRPr="008E506D" w:rsidRDefault="008E506D" w:rsidP="008E506D">
      <w:pPr>
        <w:pStyle w:val="a3"/>
        <w:numPr>
          <w:ilvl w:val="0"/>
          <w:numId w:val="2"/>
        </w:numPr>
        <w:spacing w:line="300" w:lineRule="auto"/>
        <w:ind w:left="0" w:firstLine="851"/>
        <w:jc w:val="both"/>
        <w:rPr>
          <w:rFonts w:ascii="Times New Roman" w:hAnsi="Times New Roman" w:cs="Times New Roman"/>
          <w:sz w:val="28"/>
          <w:szCs w:val="28"/>
          <w:lang w:val="uk-UA"/>
        </w:rPr>
      </w:pPr>
      <w:r w:rsidRPr="008E506D">
        <w:rPr>
          <w:rFonts w:ascii="Times New Roman" w:hAnsi="Times New Roman" w:cs="Times New Roman"/>
          <w:sz w:val="28"/>
          <w:szCs w:val="28"/>
          <w:lang w:val="uk-UA"/>
        </w:rPr>
        <w:t xml:space="preserve">Рішення Конституційного Суду України </w:t>
      </w:r>
      <w:r w:rsidR="00F041A9">
        <w:rPr>
          <w:rFonts w:ascii="Times New Roman" w:hAnsi="Times New Roman" w:cs="Times New Roman"/>
          <w:sz w:val="28"/>
          <w:szCs w:val="28"/>
          <w:lang w:val="uk-UA"/>
        </w:rPr>
        <w:t xml:space="preserve">у справі за конституційним зверненням громадянина </w:t>
      </w:r>
      <w:proofErr w:type="spellStart"/>
      <w:r w:rsidR="00F041A9">
        <w:rPr>
          <w:rFonts w:ascii="Times New Roman" w:hAnsi="Times New Roman" w:cs="Times New Roman"/>
          <w:sz w:val="28"/>
          <w:szCs w:val="28"/>
          <w:lang w:val="uk-UA"/>
        </w:rPr>
        <w:t>Степаненка</w:t>
      </w:r>
      <w:proofErr w:type="spellEnd"/>
      <w:r w:rsidR="00F041A9">
        <w:rPr>
          <w:rFonts w:ascii="Times New Roman" w:hAnsi="Times New Roman" w:cs="Times New Roman"/>
          <w:sz w:val="28"/>
          <w:szCs w:val="28"/>
          <w:lang w:val="uk-UA"/>
        </w:rPr>
        <w:t xml:space="preserve"> Андрія Миколайовича щодо офіційного тлумачення положень пунктів 22, 23 статті 1, статті 11, частини восьмої статті 18, частини третьої статті 22 Закону України «Про захист прав споживачів» у взаємозв'язку з положеннями частини четвертої статті 42 Конституції України (справа про захист прав споживачів кредитних послуг) від 10 листопада 2011 року </w:t>
      </w:r>
      <w:r w:rsidR="00002027">
        <w:rPr>
          <w:rFonts w:ascii="Times New Roman" w:hAnsi="Times New Roman" w:cs="Times New Roman"/>
          <w:sz w:val="28"/>
          <w:szCs w:val="28"/>
          <w:lang w:val="uk-UA"/>
        </w:rPr>
        <w:t>№</w:t>
      </w:r>
      <w:r w:rsidRPr="008E506D">
        <w:rPr>
          <w:rFonts w:ascii="Times New Roman" w:hAnsi="Times New Roman" w:cs="Times New Roman"/>
          <w:sz w:val="28"/>
          <w:szCs w:val="28"/>
          <w:lang w:val="uk-UA"/>
        </w:rPr>
        <w:t xml:space="preserve"> 15-рп/2011</w:t>
      </w:r>
      <w:r w:rsidR="00002027">
        <w:rPr>
          <w:rFonts w:ascii="Times New Roman" w:hAnsi="Times New Roman" w:cs="Times New Roman"/>
          <w:sz w:val="28"/>
          <w:szCs w:val="28"/>
          <w:lang w:val="uk-UA"/>
        </w:rPr>
        <w:t>.</w:t>
      </w:r>
    </w:p>
    <w:sectPr w:rsidR="008E506D" w:rsidRPr="008E506D" w:rsidSect="00B419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832" w:rsidRDefault="00213832" w:rsidP="00AB0574">
      <w:pPr>
        <w:spacing w:after="0" w:line="240" w:lineRule="auto"/>
      </w:pPr>
      <w:r>
        <w:separator/>
      </w:r>
    </w:p>
  </w:endnote>
  <w:endnote w:type="continuationSeparator" w:id="0">
    <w:p w:rsidR="00213832" w:rsidRDefault="00213832" w:rsidP="00AB0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832" w:rsidRDefault="00213832" w:rsidP="00AB0574">
      <w:pPr>
        <w:spacing w:after="0" w:line="240" w:lineRule="auto"/>
      </w:pPr>
      <w:r>
        <w:separator/>
      </w:r>
    </w:p>
  </w:footnote>
  <w:footnote w:type="continuationSeparator" w:id="0">
    <w:p w:rsidR="00213832" w:rsidRDefault="00213832" w:rsidP="00AB0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56AB5"/>
    <w:multiLevelType w:val="hybridMultilevel"/>
    <w:tmpl w:val="7AFA6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687B83"/>
    <w:multiLevelType w:val="hybridMultilevel"/>
    <w:tmpl w:val="9A7C17D2"/>
    <w:lvl w:ilvl="0" w:tplc="465CCDB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proofState w:spelling="clean" w:grammar="clean"/>
  <w:defaultTabStop w:val="720"/>
  <w:characterSpacingControl w:val="doNotCompress"/>
  <w:footnotePr>
    <w:footnote w:id="-1"/>
    <w:footnote w:id="0"/>
  </w:footnotePr>
  <w:endnotePr>
    <w:endnote w:id="-1"/>
    <w:endnote w:id="0"/>
  </w:endnotePr>
  <w:compat/>
  <w:rsids>
    <w:rsidRoot w:val="00B4507B"/>
    <w:rsid w:val="00002027"/>
    <w:rsid w:val="000259AE"/>
    <w:rsid w:val="000B35C1"/>
    <w:rsid w:val="000E2115"/>
    <w:rsid w:val="00213832"/>
    <w:rsid w:val="00276026"/>
    <w:rsid w:val="002A73C7"/>
    <w:rsid w:val="003F03AA"/>
    <w:rsid w:val="00452A7B"/>
    <w:rsid w:val="005130D2"/>
    <w:rsid w:val="00585924"/>
    <w:rsid w:val="005F2DDC"/>
    <w:rsid w:val="006344DA"/>
    <w:rsid w:val="006D1ED9"/>
    <w:rsid w:val="0070290B"/>
    <w:rsid w:val="007D38CF"/>
    <w:rsid w:val="007E4958"/>
    <w:rsid w:val="008A2110"/>
    <w:rsid w:val="008E506D"/>
    <w:rsid w:val="008E5E17"/>
    <w:rsid w:val="00A22EF9"/>
    <w:rsid w:val="00A738A5"/>
    <w:rsid w:val="00A849A0"/>
    <w:rsid w:val="00AB0574"/>
    <w:rsid w:val="00B41974"/>
    <w:rsid w:val="00B4507B"/>
    <w:rsid w:val="00B62918"/>
    <w:rsid w:val="00C47B70"/>
    <w:rsid w:val="00C647A5"/>
    <w:rsid w:val="00C77D05"/>
    <w:rsid w:val="00CE02B8"/>
    <w:rsid w:val="00CE6164"/>
    <w:rsid w:val="00CF7A1A"/>
    <w:rsid w:val="00D039DE"/>
    <w:rsid w:val="00D414BF"/>
    <w:rsid w:val="00D81813"/>
    <w:rsid w:val="00D8709E"/>
    <w:rsid w:val="00DA6315"/>
    <w:rsid w:val="00DD2369"/>
    <w:rsid w:val="00EC131A"/>
    <w:rsid w:val="00EF507C"/>
    <w:rsid w:val="00F041A9"/>
    <w:rsid w:val="00F1357C"/>
    <w:rsid w:val="00F17E6B"/>
    <w:rsid w:val="00F26D21"/>
    <w:rsid w:val="00F7036A"/>
    <w:rsid w:val="00F719FC"/>
    <w:rsid w:val="00FF0EE9"/>
    <w:rsid w:val="00FF4BD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07B"/>
    <w:pPr>
      <w:ind w:left="720"/>
      <w:contextualSpacing/>
    </w:pPr>
    <w:rPr>
      <w:rFonts w:eastAsiaTheme="minorEastAsia"/>
      <w:lang w:val="ru-RU" w:eastAsia="ru-RU"/>
    </w:rPr>
  </w:style>
  <w:style w:type="paragraph" w:styleId="a4">
    <w:name w:val="footnote text"/>
    <w:basedOn w:val="a"/>
    <w:link w:val="a5"/>
    <w:unhideWhenUsed/>
    <w:rsid w:val="00AB0574"/>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сноски Знак"/>
    <w:basedOn w:val="a0"/>
    <w:link w:val="a4"/>
    <w:rsid w:val="00AB0574"/>
    <w:rPr>
      <w:rFonts w:ascii="Times New Roman" w:eastAsia="Times New Roman" w:hAnsi="Times New Roman" w:cs="Times New Roman"/>
      <w:sz w:val="20"/>
      <w:szCs w:val="20"/>
      <w:lang w:val="ru-RU" w:eastAsia="ru-RU"/>
    </w:rPr>
  </w:style>
  <w:style w:type="character" w:styleId="a6">
    <w:name w:val="footnote reference"/>
    <w:basedOn w:val="a0"/>
    <w:semiHidden/>
    <w:unhideWhenUsed/>
    <w:rsid w:val="00AB0574"/>
    <w:rPr>
      <w:vertAlign w:val="superscript"/>
    </w:rPr>
  </w:style>
  <w:style w:type="character" w:styleId="a7">
    <w:name w:val="Hyperlink"/>
    <w:basedOn w:val="a0"/>
    <w:uiPriority w:val="99"/>
    <w:unhideWhenUsed/>
    <w:rsid w:val="00CE02B8"/>
    <w:rPr>
      <w:color w:val="0000FF" w:themeColor="hyperlink"/>
      <w:u w:val="single"/>
    </w:rPr>
  </w:style>
  <w:style w:type="paragraph" w:styleId="a8">
    <w:name w:val="Balloon Text"/>
    <w:basedOn w:val="a"/>
    <w:link w:val="a9"/>
    <w:uiPriority w:val="99"/>
    <w:semiHidden/>
    <w:unhideWhenUsed/>
    <w:rsid w:val="000259A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59AE"/>
    <w:rPr>
      <w:rFonts w:ascii="Tahoma" w:hAnsi="Tahoma" w:cs="Tahoma"/>
      <w:sz w:val="16"/>
      <w:szCs w:val="16"/>
    </w:rPr>
  </w:style>
  <w:style w:type="character" w:styleId="aa">
    <w:name w:val="annotation reference"/>
    <w:basedOn w:val="a0"/>
    <w:uiPriority w:val="99"/>
    <w:semiHidden/>
    <w:unhideWhenUsed/>
    <w:rsid w:val="000259AE"/>
    <w:rPr>
      <w:sz w:val="16"/>
      <w:szCs w:val="16"/>
    </w:rPr>
  </w:style>
  <w:style w:type="paragraph" w:styleId="ab">
    <w:name w:val="annotation text"/>
    <w:basedOn w:val="a"/>
    <w:link w:val="ac"/>
    <w:uiPriority w:val="99"/>
    <w:semiHidden/>
    <w:unhideWhenUsed/>
    <w:rsid w:val="000259AE"/>
    <w:pPr>
      <w:spacing w:line="240" w:lineRule="auto"/>
    </w:pPr>
    <w:rPr>
      <w:sz w:val="20"/>
      <w:szCs w:val="20"/>
    </w:rPr>
  </w:style>
  <w:style w:type="character" w:customStyle="1" w:styleId="ac">
    <w:name w:val="Текст примечания Знак"/>
    <w:basedOn w:val="a0"/>
    <w:link w:val="ab"/>
    <w:uiPriority w:val="99"/>
    <w:semiHidden/>
    <w:rsid w:val="000259AE"/>
    <w:rPr>
      <w:sz w:val="20"/>
      <w:szCs w:val="20"/>
    </w:rPr>
  </w:style>
  <w:style w:type="paragraph" w:styleId="ad">
    <w:name w:val="annotation subject"/>
    <w:basedOn w:val="ab"/>
    <w:next w:val="ab"/>
    <w:link w:val="ae"/>
    <w:uiPriority w:val="99"/>
    <w:semiHidden/>
    <w:unhideWhenUsed/>
    <w:rsid w:val="000259AE"/>
    <w:rPr>
      <w:b/>
      <w:bCs/>
    </w:rPr>
  </w:style>
  <w:style w:type="character" w:customStyle="1" w:styleId="ae">
    <w:name w:val="Тема примечания Знак"/>
    <w:basedOn w:val="ac"/>
    <w:link w:val="ad"/>
    <w:uiPriority w:val="99"/>
    <w:semiHidden/>
    <w:rsid w:val="000259A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VKP</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8</cp:revision>
  <dcterms:created xsi:type="dcterms:W3CDTF">2024-09-18T13:43:00Z</dcterms:created>
  <dcterms:modified xsi:type="dcterms:W3CDTF">2024-09-19T10:18:00Z</dcterms:modified>
</cp:coreProperties>
</file>