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FCBAB" w14:textId="6A7168F7" w:rsidR="0028610B" w:rsidRPr="00E66997" w:rsidRDefault="00E66997" w:rsidP="00E66997">
      <w:pPr>
        <w:shd w:val="clear" w:color="auto" w:fill="FFFFFF"/>
        <w:autoSpaceDE w:val="0"/>
        <w:spacing w:afterLines="25" w:after="60"/>
        <w:jc w:val="center"/>
        <w:rPr>
          <w:b/>
          <w:color w:val="000000"/>
          <w:kern w:val="36"/>
          <w:sz w:val="28"/>
          <w:szCs w:val="28"/>
          <w:lang w:val="uk-UA"/>
        </w:rPr>
      </w:pPr>
      <w:r w:rsidRPr="00E66997">
        <w:rPr>
          <w:b/>
          <w:color w:val="000000"/>
          <w:kern w:val="36"/>
          <w:sz w:val="28"/>
          <w:szCs w:val="28"/>
          <w:lang w:val="uk-UA"/>
        </w:rPr>
        <w:t>ОЦІН</w:t>
      </w:r>
      <w:r>
        <w:rPr>
          <w:b/>
          <w:color w:val="000000"/>
          <w:kern w:val="36"/>
          <w:sz w:val="28"/>
          <w:szCs w:val="28"/>
          <w:lang w:val="uk-UA"/>
        </w:rPr>
        <w:t>КА</w:t>
      </w:r>
      <w:r w:rsidRPr="00E66997">
        <w:rPr>
          <w:b/>
          <w:color w:val="000000"/>
          <w:kern w:val="36"/>
          <w:sz w:val="28"/>
          <w:szCs w:val="28"/>
          <w:lang w:val="uk-UA"/>
        </w:rPr>
        <w:t xml:space="preserve"> ГОТОВНОСТІ ОРГАНІЗАЦІЙ ДО ГІБРИДНОГО ТА ДИСТАНЦІЙНОГО УПРАВЛІННЯ</w:t>
      </w:r>
    </w:p>
    <w:p w14:paraId="50CA373A" w14:textId="77777777" w:rsidR="00E66997" w:rsidRPr="0092709D" w:rsidRDefault="00E66997" w:rsidP="0028610B">
      <w:pPr>
        <w:shd w:val="clear" w:color="auto" w:fill="FFFFFF"/>
        <w:autoSpaceDE w:val="0"/>
        <w:spacing w:afterLines="25" w:after="60"/>
        <w:jc w:val="right"/>
        <w:rPr>
          <w:b/>
          <w:i/>
          <w:iCs/>
          <w:color w:val="000000"/>
          <w:kern w:val="36"/>
          <w:sz w:val="28"/>
          <w:szCs w:val="28"/>
          <w:lang w:val="uk-UA"/>
        </w:rPr>
      </w:pPr>
    </w:p>
    <w:p w14:paraId="6DBB3468" w14:textId="6AAF33B0" w:rsidR="002234C7" w:rsidRPr="0092709D" w:rsidRDefault="002234C7" w:rsidP="0028610B">
      <w:pPr>
        <w:shd w:val="clear" w:color="auto" w:fill="FFFFFF"/>
        <w:autoSpaceDE w:val="0"/>
        <w:spacing w:afterLines="25" w:after="60"/>
        <w:jc w:val="right"/>
        <w:rPr>
          <w:b/>
          <w:color w:val="000000"/>
          <w:kern w:val="36"/>
          <w:sz w:val="28"/>
          <w:szCs w:val="28"/>
          <w:lang w:val="uk-UA"/>
        </w:rPr>
      </w:pPr>
      <w:r w:rsidRPr="0092709D">
        <w:rPr>
          <w:b/>
          <w:color w:val="000000"/>
          <w:kern w:val="36"/>
          <w:sz w:val="28"/>
          <w:szCs w:val="28"/>
          <w:lang w:val="uk-UA"/>
        </w:rPr>
        <w:t>Нестерук В.А.</w:t>
      </w:r>
    </w:p>
    <w:p w14:paraId="6EBE48FE" w14:textId="10D25488" w:rsidR="0028610B" w:rsidRPr="0092709D" w:rsidRDefault="0028610B" w:rsidP="0092709D">
      <w:pPr>
        <w:shd w:val="clear" w:color="auto" w:fill="FFFFFF"/>
        <w:autoSpaceDE w:val="0"/>
        <w:spacing w:afterLines="25" w:after="60"/>
        <w:jc w:val="right"/>
        <w:rPr>
          <w:bCs/>
          <w:color w:val="000000"/>
          <w:kern w:val="36"/>
          <w:sz w:val="28"/>
          <w:szCs w:val="28"/>
          <w:lang w:val="uk-UA"/>
        </w:rPr>
      </w:pPr>
      <w:r w:rsidRPr="0092709D">
        <w:rPr>
          <w:bCs/>
          <w:color w:val="000000"/>
          <w:kern w:val="36"/>
          <w:sz w:val="28"/>
          <w:szCs w:val="28"/>
          <w:lang w:val="uk-UA"/>
        </w:rPr>
        <w:t>здобувач наукового ступеня доктора філософії</w:t>
      </w:r>
    </w:p>
    <w:p w14:paraId="1E208034" w14:textId="77777777" w:rsidR="0028610B" w:rsidRPr="0092709D" w:rsidRDefault="0028610B" w:rsidP="0028610B">
      <w:pPr>
        <w:shd w:val="clear" w:color="auto" w:fill="FFFFFF"/>
        <w:autoSpaceDE w:val="0"/>
        <w:spacing w:afterLines="25" w:after="60"/>
        <w:jc w:val="right"/>
        <w:rPr>
          <w:bCs/>
          <w:color w:val="000000"/>
          <w:kern w:val="36"/>
          <w:sz w:val="28"/>
          <w:szCs w:val="28"/>
          <w:lang w:val="uk-UA"/>
        </w:rPr>
      </w:pPr>
    </w:p>
    <w:p w14:paraId="3697BDB5" w14:textId="7701C256" w:rsidR="0028610B" w:rsidRPr="0092709D" w:rsidRDefault="002234C7" w:rsidP="0028610B">
      <w:pPr>
        <w:shd w:val="clear" w:color="auto" w:fill="FFFFFF"/>
        <w:autoSpaceDE w:val="0"/>
        <w:spacing w:afterLines="25" w:after="60"/>
        <w:jc w:val="right"/>
        <w:rPr>
          <w:bCs/>
          <w:color w:val="000000"/>
          <w:kern w:val="36"/>
          <w:sz w:val="28"/>
          <w:szCs w:val="28"/>
          <w:lang w:val="uk-UA"/>
        </w:rPr>
      </w:pPr>
      <w:r w:rsidRPr="0092709D">
        <w:rPr>
          <w:bCs/>
          <w:color w:val="000000"/>
          <w:kern w:val="36"/>
          <w:sz w:val="28"/>
          <w:szCs w:val="28"/>
          <w:lang w:val="uk-UA"/>
        </w:rPr>
        <w:t>Науковий керівник:</w:t>
      </w:r>
      <w:r w:rsidRPr="0092709D">
        <w:rPr>
          <w:b/>
          <w:color w:val="000000"/>
          <w:kern w:val="36"/>
          <w:sz w:val="28"/>
          <w:szCs w:val="28"/>
          <w:lang w:val="uk-UA"/>
        </w:rPr>
        <w:t xml:space="preserve"> Середа Г.В.</w:t>
      </w:r>
    </w:p>
    <w:p w14:paraId="7003ACEE" w14:textId="150331BC" w:rsidR="00FF275A" w:rsidRPr="0092709D" w:rsidRDefault="002234C7" w:rsidP="0028610B">
      <w:pPr>
        <w:shd w:val="clear" w:color="auto" w:fill="FFFFFF"/>
        <w:autoSpaceDE w:val="0"/>
        <w:spacing w:afterLines="25" w:after="60"/>
        <w:jc w:val="right"/>
        <w:rPr>
          <w:bCs/>
          <w:color w:val="000000"/>
          <w:kern w:val="36"/>
          <w:sz w:val="28"/>
          <w:szCs w:val="28"/>
          <w:lang w:val="uk-UA"/>
        </w:rPr>
      </w:pPr>
      <w:r w:rsidRPr="0092709D">
        <w:rPr>
          <w:bCs/>
          <w:color w:val="000000"/>
          <w:kern w:val="36"/>
          <w:sz w:val="28"/>
          <w:szCs w:val="28"/>
          <w:lang w:val="uk-UA"/>
        </w:rPr>
        <w:t>к.е.н., доц</w:t>
      </w:r>
      <w:r w:rsidR="00B52D99" w:rsidRPr="0092709D">
        <w:rPr>
          <w:bCs/>
          <w:color w:val="000000"/>
          <w:kern w:val="36"/>
          <w:sz w:val="28"/>
          <w:szCs w:val="28"/>
          <w:lang w:val="uk-UA"/>
        </w:rPr>
        <w:t>ент</w:t>
      </w:r>
    </w:p>
    <w:p w14:paraId="0BA5C17F" w14:textId="77777777" w:rsidR="0092709D" w:rsidRPr="0092709D" w:rsidRDefault="0092709D" w:rsidP="0028610B">
      <w:pPr>
        <w:shd w:val="clear" w:color="auto" w:fill="FFFFFF"/>
        <w:autoSpaceDE w:val="0"/>
        <w:spacing w:afterLines="25" w:after="60"/>
        <w:jc w:val="right"/>
        <w:rPr>
          <w:bCs/>
          <w:color w:val="000000"/>
          <w:kern w:val="36"/>
          <w:sz w:val="28"/>
          <w:szCs w:val="28"/>
          <w:lang w:val="uk-UA"/>
        </w:rPr>
      </w:pPr>
    </w:p>
    <w:p w14:paraId="1F90A677" w14:textId="4106B7F3" w:rsidR="00A51DF6" w:rsidRPr="0092709D" w:rsidRDefault="002234C7" w:rsidP="0028610B">
      <w:pPr>
        <w:shd w:val="clear" w:color="auto" w:fill="FFFFFF"/>
        <w:autoSpaceDE w:val="0"/>
        <w:spacing w:afterLines="25" w:after="60"/>
        <w:jc w:val="right"/>
        <w:rPr>
          <w:bCs/>
          <w:i/>
          <w:iCs/>
          <w:color w:val="000000"/>
          <w:kern w:val="36"/>
          <w:sz w:val="28"/>
          <w:szCs w:val="28"/>
          <w:lang w:val="uk-UA"/>
        </w:rPr>
      </w:pPr>
      <w:r w:rsidRPr="0092709D">
        <w:rPr>
          <w:bCs/>
          <w:i/>
          <w:iCs/>
          <w:color w:val="000000"/>
          <w:kern w:val="36"/>
          <w:sz w:val="28"/>
          <w:szCs w:val="28"/>
          <w:lang w:val="uk-UA"/>
        </w:rPr>
        <w:t>Дон</w:t>
      </w:r>
      <w:r w:rsidR="0092709D" w:rsidRPr="0092709D">
        <w:rPr>
          <w:bCs/>
          <w:i/>
          <w:iCs/>
          <w:color w:val="000000"/>
          <w:kern w:val="36"/>
          <w:sz w:val="28"/>
          <w:szCs w:val="28"/>
          <w:lang w:val="uk-UA"/>
        </w:rPr>
        <w:t>ецький національний університет</w:t>
      </w:r>
      <w:r w:rsidRPr="0092709D">
        <w:rPr>
          <w:bCs/>
          <w:i/>
          <w:iCs/>
          <w:color w:val="000000"/>
          <w:kern w:val="36"/>
          <w:sz w:val="28"/>
          <w:szCs w:val="28"/>
          <w:lang w:val="uk-UA"/>
        </w:rPr>
        <w:t xml:space="preserve"> ім</w:t>
      </w:r>
      <w:r w:rsidR="00B52D99" w:rsidRPr="0092709D">
        <w:rPr>
          <w:bCs/>
          <w:i/>
          <w:iCs/>
          <w:color w:val="000000"/>
          <w:kern w:val="36"/>
          <w:sz w:val="28"/>
          <w:szCs w:val="28"/>
          <w:lang w:val="uk-UA"/>
        </w:rPr>
        <w:t>ені</w:t>
      </w:r>
      <w:r w:rsidRPr="0092709D">
        <w:rPr>
          <w:bCs/>
          <w:i/>
          <w:iCs/>
          <w:color w:val="000000"/>
          <w:kern w:val="36"/>
          <w:sz w:val="28"/>
          <w:szCs w:val="28"/>
          <w:lang w:val="uk-UA"/>
        </w:rPr>
        <w:t xml:space="preserve"> Василя Стуса</w:t>
      </w:r>
    </w:p>
    <w:p w14:paraId="00BED371" w14:textId="77777777" w:rsidR="00D03505" w:rsidRPr="00A518B3" w:rsidRDefault="00D03505" w:rsidP="00D03505">
      <w:pPr>
        <w:shd w:val="clear" w:color="auto" w:fill="FFFFFF"/>
        <w:autoSpaceDE w:val="0"/>
        <w:spacing w:line="276" w:lineRule="auto"/>
        <w:jc w:val="both"/>
        <w:rPr>
          <w:sz w:val="28"/>
          <w:szCs w:val="28"/>
        </w:rPr>
      </w:pPr>
    </w:p>
    <w:p w14:paraId="0F40AB4E" w14:textId="33D6AF9B" w:rsidR="00D03505" w:rsidRPr="00D03505" w:rsidRDefault="00D03505" w:rsidP="00B60922">
      <w:pPr>
        <w:shd w:val="clear" w:color="auto" w:fill="FFFFFF"/>
        <w:autoSpaceDE w:val="0"/>
        <w:spacing w:line="276" w:lineRule="auto"/>
        <w:ind w:firstLine="708"/>
        <w:jc w:val="both"/>
        <w:rPr>
          <w:sz w:val="28"/>
          <w:szCs w:val="28"/>
          <w:lang w:val="uk-UA"/>
        </w:rPr>
      </w:pPr>
      <w:r w:rsidRPr="00D03505">
        <w:rPr>
          <w:sz w:val="28"/>
          <w:szCs w:val="28"/>
          <w:lang w:val="uk-UA"/>
        </w:rPr>
        <w:t xml:space="preserve">У сучасних умовах, коли Україна стикається з численними викликами післявоєнного відновлення, організації змушені шукати ефективні моделі управління, які відповідають новим реаліям. Гібридні та дистанційні моделі управління стають одним із найважливіших інструментів адаптації. </w:t>
      </w:r>
      <w:r w:rsidR="00ED5521">
        <w:rPr>
          <w:sz w:val="28"/>
          <w:szCs w:val="28"/>
          <w:lang w:val="uk-UA"/>
        </w:rPr>
        <w:t xml:space="preserve">Втім </w:t>
      </w:r>
      <w:r w:rsidRPr="00D03505">
        <w:rPr>
          <w:sz w:val="28"/>
          <w:szCs w:val="28"/>
          <w:lang w:val="uk-UA"/>
        </w:rPr>
        <w:t xml:space="preserve">для успішного впровадження цих моделей необхідно проводити детальну оцінку готовності організації до їхнього застосування, враховуючи технологічні, управлінські, соціальні та безпекові аспекти. Такий </w:t>
      </w:r>
      <w:r w:rsidR="00E66997">
        <w:rPr>
          <w:sz w:val="28"/>
          <w:szCs w:val="28"/>
          <w:lang w:val="uk-UA"/>
        </w:rPr>
        <w:t>підхід</w:t>
      </w:r>
      <w:r w:rsidRPr="00D03505">
        <w:rPr>
          <w:sz w:val="28"/>
          <w:szCs w:val="28"/>
          <w:lang w:val="uk-UA"/>
        </w:rPr>
        <w:t xml:space="preserve"> дозволяє уникнути помилок при переході на нові моделі роботи та забезпечує стабільність і ефективність процесів в організації.</w:t>
      </w:r>
    </w:p>
    <w:p w14:paraId="6100FD3D" w14:textId="101320AD" w:rsidR="00D03505" w:rsidRPr="00D03505" w:rsidRDefault="00D03505" w:rsidP="00E66997">
      <w:pPr>
        <w:shd w:val="clear" w:color="auto" w:fill="FFFFFF"/>
        <w:autoSpaceDE w:val="0"/>
        <w:spacing w:line="276" w:lineRule="auto"/>
        <w:ind w:firstLine="708"/>
        <w:jc w:val="both"/>
        <w:rPr>
          <w:sz w:val="28"/>
          <w:szCs w:val="28"/>
          <w:lang w:val="uk-UA"/>
        </w:rPr>
      </w:pPr>
      <w:r w:rsidRPr="00D03505">
        <w:rPr>
          <w:sz w:val="28"/>
          <w:szCs w:val="28"/>
          <w:lang w:val="uk-UA"/>
        </w:rPr>
        <w:t xml:space="preserve">Першим кроком у процесі оцінювання </w:t>
      </w:r>
      <w:r w:rsidRPr="00057F76">
        <w:rPr>
          <w:color w:val="000000" w:themeColor="text1"/>
          <w:sz w:val="28"/>
          <w:szCs w:val="28"/>
          <w:lang w:val="uk-UA"/>
        </w:rPr>
        <w:t xml:space="preserve">готовності </w:t>
      </w:r>
      <w:r w:rsidR="00A518B3" w:rsidRPr="00057F76">
        <w:rPr>
          <w:color w:val="000000" w:themeColor="text1"/>
          <w:sz w:val="28"/>
          <w:szCs w:val="28"/>
          <w:lang w:val="uk-UA"/>
        </w:rPr>
        <w:t xml:space="preserve">організації до переходу на гібридні та дистанційні моделі управління </w:t>
      </w:r>
      <w:r w:rsidRPr="00057F76">
        <w:rPr>
          <w:color w:val="000000" w:themeColor="text1"/>
          <w:sz w:val="28"/>
          <w:szCs w:val="28"/>
          <w:lang w:val="uk-UA"/>
        </w:rPr>
        <w:t xml:space="preserve">є перевірка </w:t>
      </w:r>
      <w:r w:rsidR="00057F76" w:rsidRPr="00057F76">
        <w:rPr>
          <w:color w:val="000000" w:themeColor="text1"/>
          <w:sz w:val="28"/>
          <w:szCs w:val="28"/>
          <w:lang w:val="uk-UA"/>
        </w:rPr>
        <w:t>стану</w:t>
      </w:r>
      <w:r w:rsidR="00A518B3" w:rsidRPr="00057F76">
        <w:rPr>
          <w:color w:val="000000" w:themeColor="text1"/>
          <w:sz w:val="28"/>
          <w:szCs w:val="28"/>
          <w:lang w:val="uk-UA"/>
        </w:rPr>
        <w:t xml:space="preserve"> її </w:t>
      </w:r>
      <w:r w:rsidRPr="00D03505">
        <w:rPr>
          <w:sz w:val="28"/>
          <w:szCs w:val="28"/>
          <w:lang w:val="uk-UA"/>
        </w:rPr>
        <w:t xml:space="preserve">цифрової інфраструктури. Успішне впровадження гібридної або дистанційної роботи потребує наявності надійної інфраструктури, яка включає високошвидкісний інтернет, цифрові платформи для комунікації та зберігання даних, а також засоби для управління проєктами. Наприклад, платформи на кшталт Microsoft Teams або Zoom дозволяють командам підтримувати зв’язок, незалежно від їхнього фізичного місцезнаходження. Однак важливо оцінити, чи відповідає інфраструктура організації потребам нових робочих умов, особливо в післявоєнній Україні, де значна частина технічних ресурсів може бути пошкоджена або зруйнована. Організації повинні мати не лише технологічні засоби, але </w:t>
      </w:r>
      <w:r w:rsidRPr="00057F76">
        <w:rPr>
          <w:color w:val="000000" w:themeColor="text1"/>
          <w:sz w:val="28"/>
          <w:szCs w:val="28"/>
          <w:lang w:val="uk-UA"/>
        </w:rPr>
        <w:t xml:space="preserve">й резервні канали </w:t>
      </w:r>
      <w:r w:rsidR="00A518B3" w:rsidRPr="00057F76">
        <w:rPr>
          <w:color w:val="000000" w:themeColor="text1"/>
          <w:sz w:val="28"/>
          <w:szCs w:val="28"/>
          <w:lang w:val="uk-UA"/>
        </w:rPr>
        <w:t xml:space="preserve">Інтернет </w:t>
      </w:r>
      <w:r w:rsidRPr="00057F76">
        <w:rPr>
          <w:color w:val="000000" w:themeColor="text1"/>
          <w:sz w:val="28"/>
          <w:szCs w:val="28"/>
          <w:lang w:val="uk-UA"/>
        </w:rPr>
        <w:t xml:space="preserve">зв'язку </w:t>
      </w:r>
      <w:r w:rsidR="00A518B3" w:rsidRPr="00057F76">
        <w:rPr>
          <w:color w:val="000000" w:themeColor="text1"/>
          <w:sz w:val="28"/>
          <w:szCs w:val="28"/>
          <w:lang w:val="uk-UA"/>
        </w:rPr>
        <w:t>та альтернативні джерела електр</w:t>
      </w:r>
      <w:r w:rsidR="00057F76" w:rsidRPr="00057F76">
        <w:rPr>
          <w:color w:val="000000" w:themeColor="text1"/>
          <w:sz w:val="28"/>
          <w:szCs w:val="28"/>
          <w:lang w:val="uk-UA"/>
        </w:rPr>
        <w:t>оенергії</w:t>
      </w:r>
      <w:r w:rsidR="00A518B3" w:rsidRPr="00057F76">
        <w:rPr>
          <w:color w:val="000000" w:themeColor="text1"/>
          <w:sz w:val="28"/>
          <w:szCs w:val="28"/>
          <w:lang w:val="uk-UA"/>
        </w:rPr>
        <w:t xml:space="preserve"> в умовах воєнних загроз та стихійних лих</w:t>
      </w:r>
      <w:r w:rsidR="00A518B3" w:rsidRPr="00A518B3">
        <w:rPr>
          <w:color w:val="FF0000"/>
          <w:sz w:val="28"/>
          <w:szCs w:val="28"/>
          <w:lang w:val="uk-UA"/>
        </w:rPr>
        <w:t xml:space="preserve"> </w:t>
      </w:r>
      <w:r w:rsidRPr="00D03505">
        <w:rPr>
          <w:sz w:val="28"/>
          <w:szCs w:val="28"/>
          <w:lang w:val="uk-UA"/>
        </w:rPr>
        <w:t>на випадок можливих збоїв, що дозволить уникнути простоїв у роботі [1].</w:t>
      </w:r>
      <w:r w:rsidR="00A518B3">
        <w:rPr>
          <w:sz w:val="28"/>
          <w:szCs w:val="28"/>
          <w:lang w:val="uk-UA"/>
        </w:rPr>
        <w:t xml:space="preserve"> </w:t>
      </w:r>
    </w:p>
    <w:p w14:paraId="5F95426B" w14:textId="38C3CB11" w:rsidR="00D03505" w:rsidRPr="00D03505" w:rsidRDefault="00D03505" w:rsidP="00E66997">
      <w:pPr>
        <w:shd w:val="clear" w:color="auto" w:fill="FFFFFF"/>
        <w:autoSpaceDE w:val="0"/>
        <w:spacing w:line="276" w:lineRule="auto"/>
        <w:ind w:firstLine="708"/>
        <w:jc w:val="both"/>
        <w:rPr>
          <w:sz w:val="28"/>
          <w:szCs w:val="28"/>
          <w:lang w:val="uk-UA"/>
        </w:rPr>
      </w:pPr>
      <w:r w:rsidRPr="00D03505">
        <w:rPr>
          <w:sz w:val="28"/>
          <w:szCs w:val="28"/>
          <w:lang w:val="uk-UA"/>
        </w:rPr>
        <w:t xml:space="preserve">Другий ключовий аспект готовності організації до переходу на гібридні моделі стосується персоналу. Оцінка готовності працівників до </w:t>
      </w:r>
      <w:r w:rsidRPr="00D03505">
        <w:rPr>
          <w:sz w:val="28"/>
          <w:szCs w:val="28"/>
          <w:lang w:val="uk-UA"/>
        </w:rPr>
        <w:lastRenderedPageBreak/>
        <w:t>роботи в нових умовах повинна враховувати їхній технічний рівень, здатність адаптуватися до цифрових інструментів, а також психологічну готовність до змін. Не всі працівники мають достатні навички для ефективної роботи з цифровими платформами, тому важливим елементом впровадження є проведення навчальних програм, які допоможуть підвищити їхню цифрову грамотність. Крім того, важливо розуміти, що психологічний стан працівників, особливо в умовах післявоєнної реабілітації, відіграє значну роль у їхній продуктивності. Війна створила нові виклики для психічного здоров’я, тому організації мають розробляти програми підтримки, орієнтовані на адаптацію персоналу до роботи в нових умовах [2].</w:t>
      </w:r>
    </w:p>
    <w:p w14:paraId="3B2B37A2" w14:textId="3E6B2980" w:rsidR="00D03505" w:rsidRPr="00D03505" w:rsidRDefault="00D03505" w:rsidP="00E66997">
      <w:pPr>
        <w:shd w:val="clear" w:color="auto" w:fill="FFFFFF"/>
        <w:autoSpaceDE w:val="0"/>
        <w:spacing w:line="276" w:lineRule="auto"/>
        <w:ind w:firstLine="708"/>
        <w:jc w:val="both"/>
        <w:rPr>
          <w:sz w:val="28"/>
          <w:szCs w:val="28"/>
          <w:lang w:val="uk-UA"/>
        </w:rPr>
      </w:pPr>
      <w:r w:rsidRPr="00D03505">
        <w:rPr>
          <w:sz w:val="28"/>
          <w:szCs w:val="28"/>
          <w:lang w:val="uk-UA"/>
        </w:rPr>
        <w:t xml:space="preserve">Також необхідно звернути увагу на управлінські практики в організації, які безпосередньо впливають на успішність переходу на гібридні та дистанційні моделі. Традиційні управлінські підходи, де продуктивність оцінювалася за кількістю часу, проведеного в офісі, стають малоефективними в нових умовах. Організації повинні перейти до орієнтованих </w:t>
      </w:r>
      <w:r w:rsidR="00E66997">
        <w:rPr>
          <w:sz w:val="28"/>
          <w:szCs w:val="28"/>
          <w:lang w:val="uk-UA"/>
        </w:rPr>
        <w:t xml:space="preserve">на результат </w:t>
      </w:r>
      <w:r w:rsidRPr="00D03505">
        <w:rPr>
          <w:sz w:val="28"/>
          <w:szCs w:val="28"/>
          <w:lang w:val="uk-UA"/>
        </w:rPr>
        <w:t xml:space="preserve">моделей оцінки, де головним критерієм успішності є </w:t>
      </w:r>
      <w:r w:rsidR="00A518B3">
        <w:rPr>
          <w:sz w:val="28"/>
          <w:szCs w:val="28"/>
          <w:lang w:val="uk-UA"/>
        </w:rPr>
        <w:t xml:space="preserve">прогрес у </w:t>
      </w:r>
      <w:r w:rsidRPr="00D03505">
        <w:rPr>
          <w:sz w:val="28"/>
          <w:szCs w:val="28"/>
          <w:lang w:val="uk-UA"/>
        </w:rPr>
        <w:t>досягненн</w:t>
      </w:r>
      <w:r w:rsidR="00A518B3">
        <w:rPr>
          <w:sz w:val="28"/>
          <w:szCs w:val="28"/>
          <w:lang w:val="uk-UA"/>
        </w:rPr>
        <w:t>і</w:t>
      </w:r>
      <w:r w:rsidRPr="00D03505">
        <w:rPr>
          <w:sz w:val="28"/>
          <w:szCs w:val="28"/>
          <w:lang w:val="uk-UA"/>
        </w:rPr>
        <w:t xml:space="preserve"> встановлених цілей, а не фізична присутність на робочому місці. Це передбачає створення системи ключових показників ефективності, які допоможуть об’єктивно вимірювати результати роботи кожного співробітника, незалежно від його робочого місця [3].</w:t>
      </w:r>
    </w:p>
    <w:p w14:paraId="5F4C2E37" w14:textId="292E6D76" w:rsidR="00D03505" w:rsidRPr="00D03505" w:rsidRDefault="00D03505" w:rsidP="00E66997">
      <w:pPr>
        <w:shd w:val="clear" w:color="auto" w:fill="FFFFFF"/>
        <w:autoSpaceDE w:val="0"/>
        <w:spacing w:line="276" w:lineRule="auto"/>
        <w:ind w:firstLine="708"/>
        <w:jc w:val="both"/>
        <w:rPr>
          <w:sz w:val="28"/>
          <w:szCs w:val="28"/>
          <w:lang w:val="uk-UA"/>
        </w:rPr>
      </w:pPr>
      <w:r w:rsidRPr="00D03505">
        <w:rPr>
          <w:sz w:val="28"/>
          <w:szCs w:val="28"/>
          <w:lang w:val="uk-UA"/>
        </w:rPr>
        <w:t>Не менш важливою складовою оцінки готовності є організаційна гнучкість. У контексті переходу на гібридні моделі особливого значення набуває здатність організації швидко адаптувати свої процеси під нові умови. Це стосується як комунікації між командами, що працюють у різних форматах (віддалено або в офісі), так і інтеграції різних відділів у єдину ефективну систему управління. Гнучкість дозволяє організації не тільки успішно впроваджувати нові моделі роботи, але й адаптуватися до можливих змін у зовнішньому середовищі. Наприклад, в умовах післявоєнної нестабільності організаціям потрібно бути готовими до швидких змін в економічній і політичній ситуаціях, що впливає на їхню діяльність [4].</w:t>
      </w:r>
    </w:p>
    <w:p w14:paraId="760B82B3" w14:textId="250E03F1" w:rsidR="00D03505" w:rsidRDefault="00ED5521" w:rsidP="00D03505">
      <w:pPr>
        <w:shd w:val="clear" w:color="auto" w:fill="FFFFFF"/>
        <w:autoSpaceDE w:val="0"/>
        <w:spacing w:line="276" w:lineRule="auto"/>
        <w:ind w:firstLine="708"/>
        <w:jc w:val="both"/>
        <w:rPr>
          <w:sz w:val="28"/>
          <w:szCs w:val="28"/>
          <w:lang w:val="uk-UA"/>
        </w:rPr>
      </w:pPr>
      <w:r>
        <w:rPr>
          <w:sz w:val="28"/>
          <w:szCs w:val="28"/>
          <w:lang w:val="uk-UA"/>
        </w:rPr>
        <w:t>Водночас к</w:t>
      </w:r>
      <w:r w:rsidR="00D03505" w:rsidRPr="00D03505">
        <w:rPr>
          <w:sz w:val="28"/>
          <w:szCs w:val="28"/>
          <w:lang w:val="uk-UA"/>
        </w:rPr>
        <w:t xml:space="preserve">ібербезпека також відіграє ключову роль у забезпеченні успішного переходу на гібридні моделі управління. Перехід на віддалену роботу підвищує ризики кіберзагроз, пов’язаних з використанням віддалених доступів та хмарних платформ. Організаціям потрібно </w:t>
      </w:r>
      <w:r w:rsidR="00D03505" w:rsidRPr="00D03505">
        <w:rPr>
          <w:sz w:val="28"/>
          <w:szCs w:val="28"/>
          <w:lang w:val="uk-UA"/>
        </w:rPr>
        <w:lastRenderedPageBreak/>
        <w:t>забезпечити належний захист своїх даних та інформаційних систем, включаючи впровадження надійних механізмів автентифікації, шифрування даних та моніторингу безпеки. Крім того, необхідно навчати персонал основам кібербезпеки, щоб мінімізувати ризики людських помилок, які можуть призвести до витоку конфіденційної інформації [5]. У післявоєнний період, коли ресурси організацій можуть бути обмеженими, ризики кіберзагроз збільшуються, тому необхідно особливо ретельно оцінювати готовність компаній до забезпечення кібербезпеки в умовах гібридної роботи.</w:t>
      </w:r>
    </w:p>
    <w:p w14:paraId="3AAAFDD1" w14:textId="5268AB87" w:rsidR="00BB110F" w:rsidRPr="005348C3" w:rsidRDefault="00BB110F" w:rsidP="00D03505">
      <w:pPr>
        <w:shd w:val="clear" w:color="auto" w:fill="FFFFFF"/>
        <w:autoSpaceDE w:val="0"/>
        <w:spacing w:line="276" w:lineRule="auto"/>
        <w:ind w:firstLine="708"/>
        <w:jc w:val="both"/>
        <w:rPr>
          <w:sz w:val="28"/>
          <w:szCs w:val="28"/>
          <w:lang w:val="en-US"/>
        </w:rPr>
      </w:pPr>
      <w:r>
        <w:rPr>
          <w:sz w:val="28"/>
          <w:szCs w:val="28"/>
          <w:lang w:val="uk-UA"/>
        </w:rPr>
        <w:t xml:space="preserve">Вищеперелічені категорії цілком доцільно розглядати в комплексі як складові інтегральної </w:t>
      </w:r>
      <w:r w:rsidRPr="00BB110F">
        <w:rPr>
          <w:sz w:val="28"/>
          <w:szCs w:val="28"/>
          <w:lang w:val="uk-UA"/>
        </w:rPr>
        <w:t>готовн</w:t>
      </w:r>
      <w:r>
        <w:rPr>
          <w:sz w:val="28"/>
          <w:szCs w:val="28"/>
          <w:lang w:val="uk-UA"/>
        </w:rPr>
        <w:t>ості</w:t>
      </w:r>
      <w:r w:rsidRPr="00BB110F">
        <w:rPr>
          <w:sz w:val="28"/>
          <w:szCs w:val="28"/>
          <w:lang w:val="uk-UA"/>
        </w:rPr>
        <w:t xml:space="preserve"> організації до гібридного та дистанційного управління</w:t>
      </w:r>
      <w:r>
        <w:rPr>
          <w:sz w:val="28"/>
          <w:szCs w:val="28"/>
          <w:lang w:val="uk-UA"/>
        </w:rPr>
        <w:t xml:space="preserve">, що детальніше проілюстровано з </w:t>
      </w:r>
      <w:r w:rsidR="00DA4185">
        <w:rPr>
          <w:sz w:val="28"/>
          <w:szCs w:val="28"/>
          <w:lang w:val="uk-UA"/>
        </w:rPr>
        <w:t>перспективи</w:t>
      </w:r>
      <w:r>
        <w:rPr>
          <w:sz w:val="28"/>
          <w:szCs w:val="28"/>
          <w:lang w:val="uk-UA"/>
        </w:rPr>
        <w:t xml:space="preserve"> </w:t>
      </w:r>
      <w:r w:rsidR="00DA4185">
        <w:rPr>
          <w:sz w:val="28"/>
          <w:szCs w:val="28"/>
          <w:lang w:val="uk-UA"/>
        </w:rPr>
        <w:t>складових внутрішнього середовища організації (зокрема</w:t>
      </w:r>
      <w:r w:rsidR="0062643A">
        <w:rPr>
          <w:sz w:val="28"/>
          <w:szCs w:val="28"/>
          <w:lang w:val="uk-UA"/>
        </w:rPr>
        <w:t>:</w:t>
      </w:r>
      <w:r w:rsidR="00DA4185">
        <w:rPr>
          <w:sz w:val="28"/>
          <w:szCs w:val="28"/>
          <w:lang w:val="uk-UA"/>
        </w:rPr>
        <w:t xml:space="preserve"> цілей, структури, технологій, персоналу та організаційної культури) і через проміжні елементи готовності та їхні зв</w:t>
      </w:r>
      <w:r w:rsidR="00DA4185" w:rsidRPr="0062643A">
        <w:rPr>
          <w:sz w:val="28"/>
          <w:szCs w:val="28"/>
          <w:lang w:val="uk-UA"/>
        </w:rPr>
        <w:t>’</w:t>
      </w:r>
      <w:r w:rsidR="00DA4185">
        <w:rPr>
          <w:sz w:val="28"/>
          <w:szCs w:val="28"/>
          <w:lang w:val="uk-UA"/>
        </w:rPr>
        <w:t>язки</w:t>
      </w:r>
      <w:r w:rsidR="0062643A">
        <w:rPr>
          <w:sz w:val="28"/>
          <w:szCs w:val="28"/>
          <w:lang w:val="uk-UA"/>
        </w:rPr>
        <w:t>, продемонстровані</w:t>
      </w:r>
      <w:r w:rsidR="00DA4185">
        <w:rPr>
          <w:sz w:val="28"/>
          <w:szCs w:val="28"/>
          <w:lang w:val="uk-UA"/>
        </w:rPr>
        <w:t xml:space="preserve"> </w:t>
      </w:r>
      <w:r>
        <w:rPr>
          <w:sz w:val="28"/>
          <w:szCs w:val="28"/>
          <w:lang w:val="uk-UA"/>
        </w:rPr>
        <w:t>на відповідній схемі (рис. 1)</w:t>
      </w:r>
      <w:r w:rsidR="00DA4185">
        <w:rPr>
          <w:sz w:val="28"/>
          <w:szCs w:val="28"/>
          <w:lang w:val="uk-UA"/>
        </w:rPr>
        <w:t>.</w:t>
      </w:r>
    </w:p>
    <w:p w14:paraId="1E087387" w14:textId="148930F6" w:rsidR="00BB110F" w:rsidRDefault="005348C3" w:rsidP="00D03505">
      <w:pPr>
        <w:shd w:val="clear" w:color="auto" w:fill="FFFFFF"/>
        <w:autoSpaceDE w:val="0"/>
        <w:spacing w:line="276" w:lineRule="auto"/>
        <w:ind w:firstLine="708"/>
        <w:jc w:val="both"/>
        <w:rPr>
          <w:sz w:val="28"/>
          <w:szCs w:val="28"/>
          <w:lang w:val="uk-UA"/>
        </w:rPr>
      </w:pPr>
      <w:r>
        <w:rPr>
          <w:noProof/>
          <w:sz w:val="28"/>
          <w:szCs w:val="28"/>
          <w:lang w:val="uk-UA"/>
        </w:rPr>
        <w:drawing>
          <wp:anchor distT="0" distB="0" distL="114300" distR="114300" simplePos="0" relativeHeight="251658240" behindDoc="0" locked="0" layoutInCell="1" allowOverlap="1" wp14:anchorId="32540B0F" wp14:editId="6E5E9B5F">
            <wp:simplePos x="0" y="0"/>
            <wp:positionH relativeFrom="margin">
              <wp:align>center</wp:align>
            </wp:positionH>
            <wp:positionV relativeFrom="paragraph">
              <wp:posOffset>241935</wp:posOffset>
            </wp:positionV>
            <wp:extent cx="5950585" cy="1325880"/>
            <wp:effectExtent l="0" t="0" r="0" b="7620"/>
            <wp:wrapTopAndBottom/>
            <wp:docPr id="13516122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50585" cy="1325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7C1FCE" w14:textId="139E109E" w:rsidR="00BB110F" w:rsidRPr="008C637A" w:rsidRDefault="008C637A" w:rsidP="008C637A">
      <w:pPr>
        <w:shd w:val="clear" w:color="auto" w:fill="FFFFFF"/>
        <w:autoSpaceDE w:val="0"/>
        <w:spacing w:line="276" w:lineRule="auto"/>
        <w:jc w:val="center"/>
        <w:rPr>
          <w:sz w:val="28"/>
          <w:szCs w:val="28"/>
          <w:lang w:val="uk-UA"/>
        </w:rPr>
      </w:pPr>
      <w:r>
        <w:rPr>
          <w:sz w:val="28"/>
          <w:szCs w:val="28"/>
          <w:lang w:val="uk-UA"/>
        </w:rPr>
        <w:t>Рисунок 1 – Схема складових інтегральної готовності організації до гібридного та дистанційного управління</w:t>
      </w:r>
    </w:p>
    <w:p w14:paraId="58A07B21" w14:textId="77777777" w:rsidR="008C637A" w:rsidRPr="0062643A" w:rsidRDefault="008C637A" w:rsidP="00100332">
      <w:pPr>
        <w:shd w:val="clear" w:color="auto" w:fill="FFFFFF"/>
        <w:autoSpaceDE w:val="0"/>
        <w:spacing w:line="276" w:lineRule="auto"/>
        <w:jc w:val="both"/>
        <w:rPr>
          <w:sz w:val="28"/>
          <w:szCs w:val="28"/>
        </w:rPr>
      </w:pPr>
    </w:p>
    <w:p w14:paraId="32A2048A" w14:textId="0B10AB3B" w:rsidR="00D03505" w:rsidRPr="00D03505" w:rsidRDefault="00D03505" w:rsidP="00D03505">
      <w:pPr>
        <w:shd w:val="clear" w:color="auto" w:fill="FFFFFF"/>
        <w:autoSpaceDE w:val="0"/>
        <w:spacing w:line="276" w:lineRule="auto"/>
        <w:ind w:firstLine="708"/>
        <w:jc w:val="both"/>
        <w:rPr>
          <w:sz w:val="28"/>
          <w:szCs w:val="28"/>
          <w:lang w:val="uk-UA"/>
        </w:rPr>
      </w:pPr>
      <w:r>
        <w:rPr>
          <w:sz w:val="28"/>
          <w:szCs w:val="28"/>
          <w:lang w:val="uk-UA"/>
        </w:rPr>
        <w:t>Загалом</w:t>
      </w:r>
      <w:r w:rsidRPr="00D03505">
        <w:rPr>
          <w:sz w:val="28"/>
          <w:szCs w:val="28"/>
          <w:lang w:val="uk-UA"/>
        </w:rPr>
        <w:t xml:space="preserve">, </w:t>
      </w:r>
      <w:r w:rsidR="0062643A" w:rsidRPr="00D03505">
        <w:rPr>
          <w:sz w:val="28"/>
          <w:szCs w:val="28"/>
          <w:lang w:val="uk-UA"/>
        </w:rPr>
        <w:t>комплексн</w:t>
      </w:r>
      <w:r w:rsidR="0062643A">
        <w:rPr>
          <w:sz w:val="28"/>
          <w:szCs w:val="28"/>
          <w:lang w:val="uk-UA"/>
        </w:rPr>
        <w:t>а</w:t>
      </w:r>
      <w:r w:rsidR="0062643A" w:rsidRPr="00D03505">
        <w:rPr>
          <w:sz w:val="28"/>
          <w:szCs w:val="28"/>
          <w:lang w:val="uk-UA"/>
        </w:rPr>
        <w:t xml:space="preserve"> оцінк</w:t>
      </w:r>
      <w:r w:rsidR="0062643A">
        <w:rPr>
          <w:sz w:val="28"/>
          <w:szCs w:val="28"/>
          <w:lang w:val="uk-UA"/>
        </w:rPr>
        <w:t>а</w:t>
      </w:r>
      <w:r w:rsidR="0062643A" w:rsidRPr="00D03505">
        <w:rPr>
          <w:sz w:val="28"/>
          <w:szCs w:val="28"/>
          <w:lang w:val="uk-UA"/>
        </w:rPr>
        <w:t xml:space="preserve"> готовності організації </w:t>
      </w:r>
      <w:r w:rsidR="0062643A">
        <w:rPr>
          <w:sz w:val="28"/>
          <w:szCs w:val="28"/>
          <w:lang w:val="uk-UA"/>
        </w:rPr>
        <w:t xml:space="preserve">до переходу на моделі гібридного або дистанційного управління </w:t>
      </w:r>
      <w:r w:rsidR="0062643A" w:rsidRPr="00D03505">
        <w:rPr>
          <w:sz w:val="28"/>
          <w:szCs w:val="28"/>
          <w:lang w:val="uk-UA"/>
        </w:rPr>
        <w:t xml:space="preserve">за всіма ключовими </w:t>
      </w:r>
      <w:r w:rsidR="0062643A">
        <w:rPr>
          <w:sz w:val="28"/>
          <w:szCs w:val="28"/>
          <w:lang w:val="uk-UA"/>
        </w:rPr>
        <w:t>складовими зовнішнього середовища формує передумови необхідних внутрішніх трансформацій та змін</w:t>
      </w:r>
      <w:r w:rsidRPr="00D03505">
        <w:rPr>
          <w:sz w:val="28"/>
          <w:szCs w:val="28"/>
          <w:lang w:val="uk-UA"/>
        </w:rPr>
        <w:t>. Тільки глибокий аналіз технологічної інфраструктури, готовності персоналу, адаптивності управлінських практик та безпеки дозволить забезпечити ефективність нових моделей роботи та адаптувати організацію до змінних умов зовнішнього середовища. Така підготовка створює основу для більш стійкого та гнучкого розвитку організацій України в умовах післявоєнного відновлення.</w:t>
      </w:r>
    </w:p>
    <w:p w14:paraId="210D956E" w14:textId="77777777" w:rsidR="005348C3" w:rsidRDefault="005348C3" w:rsidP="00D03505">
      <w:pPr>
        <w:shd w:val="clear" w:color="auto" w:fill="FFFFFF"/>
        <w:autoSpaceDE w:val="0"/>
        <w:spacing w:line="276" w:lineRule="auto"/>
        <w:jc w:val="both"/>
        <w:rPr>
          <w:sz w:val="28"/>
          <w:szCs w:val="28"/>
          <w:lang w:val="en-US"/>
        </w:rPr>
        <w:sectPr w:rsidR="005348C3" w:rsidSect="00C23B00">
          <w:pgSz w:w="11906" w:h="16838" w:code="9"/>
          <w:pgMar w:top="1418" w:right="1418" w:bottom="1418" w:left="1418" w:header="706" w:footer="706" w:gutter="0"/>
          <w:cols w:space="708"/>
          <w:docGrid w:linePitch="360"/>
        </w:sectPr>
      </w:pPr>
    </w:p>
    <w:p w14:paraId="48F563C0" w14:textId="2EECDDF8" w:rsidR="00D03505" w:rsidRDefault="00D03505" w:rsidP="005348C3">
      <w:pPr>
        <w:shd w:val="clear" w:color="auto" w:fill="FFFFFF"/>
        <w:autoSpaceDE w:val="0"/>
        <w:spacing w:line="276" w:lineRule="auto"/>
        <w:jc w:val="center"/>
        <w:rPr>
          <w:sz w:val="28"/>
          <w:szCs w:val="28"/>
          <w:lang w:val="uk-UA"/>
        </w:rPr>
      </w:pPr>
      <w:r>
        <w:rPr>
          <w:sz w:val="28"/>
          <w:szCs w:val="28"/>
          <w:lang w:val="uk-UA"/>
        </w:rPr>
        <w:lastRenderedPageBreak/>
        <w:t>СПИСОК ВИКОРИСТАНИХ ДЖЕРЕЛ</w:t>
      </w:r>
    </w:p>
    <w:p w14:paraId="02C25793" w14:textId="77777777" w:rsidR="00D03505" w:rsidRPr="00D03505" w:rsidRDefault="00D03505" w:rsidP="00D03505">
      <w:pPr>
        <w:shd w:val="clear" w:color="auto" w:fill="FFFFFF"/>
        <w:autoSpaceDE w:val="0"/>
        <w:spacing w:line="276" w:lineRule="auto"/>
        <w:jc w:val="both"/>
        <w:rPr>
          <w:sz w:val="28"/>
          <w:szCs w:val="28"/>
          <w:lang w:val="uk-UA"/>
        </w:rPr>
      </w:pPr>
    </w:p>
    <w:p w14:paraId="793E9243" w14:textId="19DBC7FE" w:rsidR="00D03505" w:rsidRPr="00D03505" w:rsidRDefault="00D03505" w:rsidP="00D03505">
      <w:pPr>
        <w:pStyle w:val="ListParagraph"/>
        <w:numPr>
          <w:ilvl w:val="0"/>
          <w:numId w:val="9"/>
        </w:numPr>
        <w:shd w:val="clear" w:color="auto" w:fill="FFFFFF"/>
        <w:autoSpaceDE w:val="0"/>
        <w:spacing w:line="276" w:lineRule="auto"/>
        <w:ind w:left="0" w:firstLine="360"/>
        <w:jc w:val="both"/>
        <w:rPr>
          <w:sz w:val="28"/>
          <w:szCs w:val="28"/>
          <w:lang w:val="uk-UA"/>
        </w:rPr>
      </w:pPr>
      <w:r w:rsidRPr="00D03505">
        <w:rPr>
          <w:sz w:val="28"/>
          <w:szCs w:val="28"/>
          <w:lang w:val="uk-UA"/>
        </w:rPr>
        <w:t xml:space="preserve">S. Robertson, S. Baror, H. Venter. </w:t>
      </w:r>
      <w:r w:rsidR="00ED5521">
        <w:rPr>
          <w:sz w:val="28"/>
          <w:szCs w:val="28"/>
          <w:lang w:val="uk-UA"/>
        </w:rPr>
        <w:t>«</w:t>
      </w:r>
      <w:r w:rsidRPr="00D03505">
        <w:rPr>
          <w:sz w:val="28"/>
          <w:szCs w:val="28"/>
          <w:lang w:val="uk-UA"/>
        </w:rPr>
        <w:t>Enhancing Metaward: Integrating Digital Forensic Readiness in the Metaverse.</w:t>
      </w:r>
      <w:r w:rsidR="00ED5521">
        <w:rPr>
          <w:sz w:val="28"/>
          <w:szCs w:val="28"/>
          <w:lang w:val="uk-UA"/>
        </w:rPr>
        <w:t>»</w:t>
      </w:r>
      <w:r w:rsidRPr="00D03505">
        <w:rPr>
          <w:sz w:val="28"/>
          <w:szCs w:val="28"/>
          <w:lang w:val="uk-UA"/>
        </w:rPr>
        <w:t xml:space="preserve"> European Conference on Cyber Warfare and Security</w:t>
      </w:r>
      <w:r w:rsidR="00ED5521">
        <w:rPr>
          <w:sz w:val="28"/>
          <w:szCs w:val="28"/>
          <w:lang w:val="en-US"/>
        </w:rPr>
        <w:t>, 2024</w:t>
      </w:r>
      <w:r w:rsidRPr="00D03505">
        <w:rPr>
          <w:sz w:val="28"/>
          <w:szCs w:val="28"/>
          <w:lang w:val="uk-UA"/>
        </w:rPr>
        <w:t xml:space="preserve">. </w:t>
      </w:r>
      <w:r w:rsidR="00ED5521">
        <w:rPr>
          <w:sz w:val="28"/>
          <w:szCs w:val="28"/>
          <w:lang w:val="uk-UA"/>
        </w:rPr>
        <w:t>URL:</w:t>
      </w:r>
      <w:r w:rsidRPr="00D03505">
        <w:rPr>
          <w:sz w:val="28"/>
          <w:szCs w:val="28"/>
          <w:lang w:val="uk-UA"/>
        </w:rPr>
        <w:t xml:space="preserve"> https://papers.academic-conferences.org/index.php/eccws/article/view/2320.</w:t>
      </w:r>
    </w:p>
    <w:p w14:paraId="2F0C7413" w14:textId="0D1E82BE" w:rsidR="00D03505" w:rsidRPr="00D03505" w:rsidRDefault="00D03505" w:rsidP="00D03505">
      <w:pPr>
        <w:pStyle w:val="ListParagraph"/>
        <w:numPr>
          <w:ilvl w:val="0"/>
          <w:numId w:val="9"/>
        </w:numPr>
        <w:shd w:val="clear" w:color="auto" w:fill="FFFFFF"/>
        <w:autoSpaceDE w:val="0"/>
        <w:spacing w:line="276" w:lineRule="auto"/>
        <w:ind w:left="0" w:firstLine="360"/>
        <w:jc w:val="both"/>
        <w:rPr>
          <w:sz w:val="28"/>
          <w:szCs w:val="28"/>
          <w:lang w:val="uk-UA"/>
        </w:rPr>
      </w:pPr>
      <w:r w:rsidRPr="00D03505">
        <w:rPr>
          <w:sz w:val="28"/>
          <w:szCs w:val="28"/>
          <w:lang w:val="uk-UA"/>
        </w:rPr>
        <w:t xml:space="preserve">C. De la Cruz, N. Furto, M. Lentejas. </w:t>
      </w:r>
      <w:r w:rsidR="00ED5521">
        <w:rPr>
          <w:sz w:val="28"/>
          <w:szCs w:val="28"/>
          <w:lang w:val="uk-UA"/>
        </w:rPr>
        <w:t>«</w:t>
      </w:r>
      <w:r w:rsidRPr="00D03505">
        <w:rPr>
          <w:sz w:val="28"/>
          <w:szCs w:val="28"/>
          <w:lang w:val="uk-UA"/>
        </w:rPr>
        <w:t>Artificial Intelligence (AI) Application in Government Department Hybrid Work Environment: A Holistic Study and Policy Implications.</w:t>
      </w:r>
      <w:r w:rsidR="00ED5521">
        <w:rPr>
          <w:sz w:val="28"/>
          <w:szCs w:val="28"/>
          <w:lang w:val="uk-UA"/>
        </w:rPr>
        <w:t>»</w:t>
      </w:r>
      <w:r w:rsidRPr="00D03505">
        <w:rPr>
          <w:sz w:val="28"/>
          <w:szCs w:val="28"/>
          <w:lang w:val="uk-UA"/>
        </w:rPr>
        <w:t xml:space="preserve"> SSRN Papers</w:t>
      </w:r>
      <w:r w:rsidR="00ED5521">
        <w:rPr>
          <w:sz w:val="28"/>
          <w:szCs w:val="28"/>
          <w:lang w:val="en-US"/>
        </w:rPr>
        <w:t>, 2023.</w:t>
      </w:r>
      <w:r w:rsidRPr="00D03505">
        <w:rPr>
          <w:sz w:val="28"/>
          <w:szCs w:val="28"/>
          <w:lang w:val="uk-UA"/>
        </w:rPr>
        <w:t xml:space="preserve"> </w:t>
      </w:r>
      <w:r w:rsidR="00ED5521">
        <w:rPr>
          <w:sz w:val="28"/>
          <w:szCs w:val="28"/>
          <w:lang w:val="uk-UA"/>
        </w:rPr>
        <w:t>URL:</w:t>
      </w:r>
      <w:r w:rsidRPr="00D03505">
        <w:rPr>
          <w:sz w:val="28"/>
          <w:szCs w:val="28"/>
          <w:lang w:val="uk-UA"/>
        </w:rPr>
        <w:t xml:space="preserve"> https://papers.ssrn.com/sol3/papers.cfm?abstract_id=4590556.</w:t>
      </w:r>
    </w:p>
    <w:p w14:paraId="6EE2B4AA" w14:textId="3BA45878" w:rsidR="00D03505" w:rsidRPr="00D03505" w:rsidRDefault="00D03505" w:rsidP="00D03505">
      <w:pPr>
        <w:pStyle w:val="ListParagraph"/>
        <w:numPr>
          <w:ilvl w:val="0"/>
          <w:numId w:val="9"/>
        </w:numPr>
        <w:shd w:val="clear" w:color="auto" w:fill="FFFFFF"/>
        <w:autoSpaceDE w:val="0"/>
        <w:spacing w:line="276" w:lineRule="auto"/>
        <w:ind w:left="0" w:firstLine="360"/>
        <w:jc w:val="both"/>
        <w:rPr>
          <w:sz w:val="28"/>
          <w:szCs w:val="28"/>
          <w:lang w:val="uk-UA"/>
        </w:rPr>
      </w:pPr>
      <w:r w:rsidRPr="00D03505">
        <w:rPr>
          <w:sz w:val="28"/>
          <w:szCs w:val="28"/>
          <w:lang w:val="uk-UA"/>
        </w:rPr>
        <w:t xml:space="preserve">M. Lentejas, C. De la Cruz, N. Furto. </w:t>
      </w:r>
      <w:r w:rsidR="00ED5521">
        <w:rPr>
          <w:sz w:val="28"/>
          <w:szCs w:val="28"/>
          <w:lang w:val="uk-UA"/>
        </w:rPr>
        <w:t>«</w:t>
      </w:r>
      <w:r w:rsidRPr="00D03505">
        <w:rPr>
          <w:sz w:val="28"/>
          <w:szCs w:val="28"/>
          <w:lang w:val="uk-UA"/>
        </w:rPr>
        <w:t>Artificial Intelligence Application in Government Department Hybrid Work Environment: A Holistic Study and Policy Implications.</w:t>
      </w:r>
      <w:r w:rsidR="00ED5521">
        <w:rPr>
          <w:sz w:val="28"/>
          <w:szCs w:val="28"/>
          <w:lang w:val="uk-UA"/>
        </w:rPr>
        <w:t>»</w:t>
      </w:r>
      <w:r w:rsidRPr="00D03505">
        <w:rPr>
          <w:sz w:val="28"/>
          <w:szCs w:val="28"/>
          <w:lang w:val="uk-UA"/>
        </w:rPr>
        <w:t xml:space="preserve"> ResearchGate</w:t>
      </w:r>
      <w:r w:rsidR="00ED5521">
        <w:rPr>
          <w:sz w:val="28"/>
          <w:szCs w:val="28"/>
          <w:lang w:val="en-US"/>
        </w:rPr>
        <w:t>, 2023.</w:t>
      </w:r>
      <w:r w:rsidRPr="00D03505">
        <w:rPr>
          <w:sz w:val="28"/>
          <w:szCs w:val="28"/>
          <w:lang w:val="uk-UA"/>
        </w:rPr>
        <w:t xml:space="preserve"> </w:t>
      </w:r>
      <w:r w:rsidR="00ED5521">
        <w:rPr>
          <w:sz w:val="28"/>
          <w:szCs w:val="28"/>
          <w:lang w:val="uk-UA"/>
        </w:rPr>
        <w:t>URL:</w:t>
      </w:r>
      <w:r w:rsidRPr="00D03505">
        <w:rPr>
          <w:sz w:val="28"/>
          <w:szCs w:val="28"/>
          <w:lang w:val="uk-UA"/>
        </w:rPr>
        <w:t xml:space="preserve"> https://www.researchgate.net/profile/Ma-Juvy-Lentejas/publication/375142848_ARTIFICIAL_INTELLIGENCE_APPLICATION_IN_GOVERNMENT_DEPARTMENT_HYBRID_WORK_ENVIRONMENT_A_HOLISTIC_STUDY_AND_POLICY_IMPLICATIONS/links/65424c640426ef6369f5279e/ARTIFICIAL-INTELLIGENCE-APPLICATION-IN-GOVERNMENT-DEPARTMENT-HYBRID-WORK-ENVIRONMENT-A-HOLISTIC-STUDY-AND-POLICY-IMPLICATIONS.pdf.</w:t>
      </w:r>
    </w:p>
    <w:p w14:paraId="66365872" w14:textId="1BA84A38" w:rsidR="00D03505" w:rsidRPr="00D03505" w:rsidRDefault="00D03505" w:rsidP="00D03505">
      <w:pPr>
        <w:pStyle w:val="ListParagraph"/>
        <w:numPr>
          <w:ilvl w:val="0"/>
          <w:numId w:val="9"/>
        </w:numPr>
        <w:shd w:val="clear" w:color="auto" w:fill="FFFFFF"/>
        <w:autoSpaceDE w:val="0"/>
        <w:spacing w:line="276" w:lineRule="auto"/>
        <w:ind w:left="0" w:firstLine="360"/>
        <w:jc w:val="both"/>
        <w:rPr>
          <w:sz w:val="28"/>
          <w:szCs w:val="28"/>
          <w:lang w:val="uk-UA"/>
        </w:rPr>
      </w:pPr>
      <w:r w:rsidRPr="00D03505">
        <w:rPr>
          <w:sz w:val="28"/>
          <w:szCs w:val="28"/>
          <w:lang w:val="uk-UA"/>
        </w:rPr>
        <w:t xml:space="preserve">S. Robertson, S. Baror, H. Venter. </w:t>
      </w:r>
      <w:r w:rsidR="00ED5521">
        <w:rPr>
          <w:sz w:val="28"/>
          <w:szCs w:val="28"/>
          <w:lang w:val="uk-UA"/>
        </w:rPr>
        <w:t>«</w:t>
      </w:r>
      <w:r w:rsidRPr="00D03505">
        <w:rPr>
          <w:sz w:val="28"/>
          <w:szCs w:val="28"/>
          <w:lang w:val="uk-UA"/>
        </w:rPr>
        <w:t>Enhancing Metaward: Integrating Digital Forensic Readiness in the Metaverse.</w:t>
      </w:r>
      <w:r w:rsidR="00ED5521">
        <w:rPr>
          <w:sz w:val="28"/>
          <w:szCs w:val="28"/>
          <w:lang w:val="uk-UA"/>
        </w:rPr>
        <w:t>»</w:t>
      </w:r>
      <w:r w:rsidRPr="00D03505">
        <w:rPr>
          <w:sz w:val="28"/>
          <w:szCs w:val="28"/>
          <w:lang w:val="uk-UA"/>
        </w:rPr>
        <w:t xml:space="preserve"> European Conference on Cyber Warfare and Security</w:t>
      </w:r>
      <w:r w:rsidR="00ED5521">
        <w:rPr>
          <w:sz w:val="28"/>
          <w:szCs w:val="28"/>
          <w:lang w:val="en-US"/>
        </w:rPr>
        <w:t>, 2024</w:t>
      </w:r>
      <w:r w:rsidRPr="00D03505">
        <w:rPr>
          <w:sz w:val="28"/>
          <w:szCs w:val="28"/>
          <w:lang w:val="uk-UA"/>
        </w:rPr>
        <w:t xml:space="preserve">. </w:t>
      </w:r>
      <w:r w:rsidR="00ED5521">
        <w:rPr>
          <w:sz w:val="28"/>
          <w:szCs w:val="28"/>
          <w:lang w:val="uk-UA"/>
        </w:rPr>
        <w:t>URL:</w:t>
      </w:r>
      <w:r w:rsidRPr="00D03505">
        <w:rPr>
          <w:sz w:val="28"/>
          <w:szCs w:val="28"/>
          <w:lang w:val="uk-UA"/>
        </w:rPr>
        <w:t xml:space="preserve"> https://papers.academic-conferences.org/index.php/eccws/article/view/2320.</w:t>
      </w:r>
    </w:p>
    <w:p w14:paraId="3FE32A18" w14:textId="567AC434" w:rsidR="00D05749" w:rsidRPr="00D03505" w:rsidRDefault="00D03505" w:rsidP="00D03505">
      <w:pPr>
        <w:pStyle w:val="ListParagraph"/>
        <w:numPr>
          <w:ilvl w:val="0"/>
          <w:numId w:val="9"/>
        </w:numPr>
        <w:shd w:val="clear" w:color="auto" w:fill="FFFFFF"/>
        <w:autoSpaceDE w:val="0"/>
        <w:spacing w:line="276" w:lineRule="auto"/>
        <w:ind w:left="0" w:firstLine="360"/>
        <w:jc w:val="both"/>
        <w:rPr>
          <w:b/>
          <w:color w:val="000000"/>
          <w:kern w:val="36"/>
          <w:sz w:val="28"/>
          <w:szCs w:val="28"/>
          <w:lang w:val="uk-UA"/>
        </w:rPr>
      </w:pPr>
      <w:r w:rsidRPr="00D03505">
        <w:rPr>
          <w:sz w:val="28"/>
          <w:szCs w:val="28"/>
          <w:lang w:val="uk-UA"/>
        </w:rPr>
        <w:t xml:space="preserve">J. L. Flores, E. Cohen, M. Mansour. </w:t>
      </w:r>
      <w:r w:rsidR="00ED5521">
        <w:rPr>
          <w:sz w:val="28"/>
          <w:szCs w:val="28"/>
          <w:lang w:val="uk-UA"/>
        </w:rPr>
        <w:t>«</w:t>
      </w:r>
      <w:r w:rsidRPr="00D03505">
        <w:rPr>
          <w:sz w:val="28"/>
          <w:szCs w:val="28"/>
          <w:lang w:val="uk-UA"/>
        </w:rPr>
        <w:t>Integrating Cybersecurity into Hybrid Work Environments.</w:t>
      </w:r>
      <w:r w:rsidR="00ED5521">
        <w:rPr>
          <w:sz w:val="28"/>
          <w:szCs w:val="28"/>
          <w:lang w:val="uk-UA"/>
        </w:rPr>
        <w:t>»</w:t>
      </w:r>
      <w:r w:rsidRPr="00D03505">
        <w:rPr>
          <w:sz w:val="28"/>
          <w:szCs w:val="28"/>
          <w:lang w:val="uk-UA"/>
        </w:rPr>
        <w:t xml:space="preserve"> Cybersecurity Review Journal</w:t>
      </w:r>
      <w:r w:rsidR="00ED5521">
        <w:rPr>
          <w:sz w:val="28"/>
          <w:szCs w:val="28"/>
          <w:lang w:val="en-US"/>
        </w:rPr>
        <w:t>, 2023</w:t>
      </w:r>
      <w:r w:rsidRPr="00D03505">
        <w:rPr>
          <w:sz w:val="28"/>
          <w:szCs w:val="28"/>
          <w:lang w:val="uk-UA"/>
        </w:rPr>
        <w:t xml:space="preserve">. </w:t>
      </w:r>
      <w:r w:rsidR="00ED5521">
        <w:rPr>
          <w:sz w:val="28"/>
          <w:szCs w:val="28"/>
          <w:lang w:val="uk-UA"/>
        </w:rPr>
        <w:t>URL:</w:t>
      </w:r>
      <w:r w:rsidRPr="00D03505">
        <w:rPr>
          <w:sz w:val="28"/>
          <w:szCs w:val="28"/>
          <w:lang w:val="uk-UA"/>
        </w:rPr>
        <w:t xml:space="preserve"> https://www.cybersecurityreviewjournal.com/integrating-cybersecurity-into-hybrid-work.</w:t>
      </w:r>
      <w:r w:rsidR="002A7FF0" w:rsidRPr="00D03505">
        <w:rPr>
          <w:sz w:val="28"/>
          <w:szCs w:val="28"/>
          <w:lang w:val="uk-UA"/>
        </w:rPr>
        <w:t xml:space="preserve"> </w:t>
      </w:r>
    </w:p>
    <w:sectPr w:rsidR="00D05749" w:rsidRPr="00D03505" w:rsidSect="00C23B00">
      <w:pgSz w:w="11906" w:h="16838" w:code="9"/>
      <w:pgMar w:top="1418" w:right="1418" w:bottom="1418" w:left="141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17BCA"/>
    <w:multiLevelType w:val="hybridMultilevel"/>
    <w:tmpl w:val="650AB1C6"/>
    <w:lvl w:ilvl="0" w:tplc="37A89868">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14007341"/>
    <w:multiLevelType w:val="hybridMultilevel"/>
    <w:tmpl w:val="54A48CB6"/>
    <w:lvl w:ilvl="0" w:tplc="AA841AA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0C90772"/>
    <w:multiLevelType w:val="hybridMultilevel"/>
    <w:tmpl w:val="25B0508A"/>
    <w:lvl w:ilvl="0" w:tplc="8EC2523C">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92C173C"/>
    <w:multiLevelType w:val="hybridMultilevel"/>
    <w:tmpl w:val="74488390"/>
    <w:lvl w:ilvl="0" w:tplc="4A0E5530">
      <w:start w:val="1"/>
      <w:numFmt w:val="decimal"/>
      <w:lvlText w:val="%1."/>
      <w:lvlJc w:val="left"/>
      <w:pPr>
        <w:ind w:left="1428" w:hanging="360"/>
      </w:pPr>
      <w:rPr>
        <w:rFonts w:hint="default"/>
        <w:color w:val="000000"/>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 w15:restartNumberingAfterBreak="0">
    <w:nsid w:val="3BBA1A9B"/>
    <w:multiLevelType w:val="hybridMultilevel"/>
    <w:tmpl w:val="9B767B74"/>
    <w:lvl w:ilvl="0" w:tplc="7F6484CE">
      <w:start w:val="1"/>
      <w:numFmt w:val="decimal"/>
      <w:lvlText w:val="%1."/>
      <w:lvlJc w:val="left"/>
      <w:pPr>
        <w:ind w:left="72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FD568A8"/>
    <w:multiLevelType w:val="hybridMultilevel"/>
    <w:tmpl w:val="9AF657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8A05EC9"/>
    <w:multiLevelType w:val="hybridMultilevel"/>
    <w:tmpl w:val="26084E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ACE02FF"/>
    <w:multiLevelType w:val="hybridMultilevel"/>
    <w:tmpl w:val="41BC466A"/>
    <w:lvl w:ilvl="0" w:tplc="A53A3B7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75350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9589374">
    <w:abstractNumId w:val="2"/>
  </w:num>
  <w:num w:numId="3" w16cid:durableId="653948709">
    <w:abstractNumId w:val="3"/>
  </w:num>
  <w:num w:numId="4" w16cid:durableId="377511968">
    <w:abstractNumId w:val="0"/>
  </w:num>
  <w:num w:numId="5" w16cid:durableId="1664577958">
    <w:abstractNumId w:val="5"/>
  </w:num>
  <w:num w:numId="6" w16cid:durableId="669255924">
    <w:abstractNumId w:val="7"/>
  </w:num>
  <w:num w:numId="7" w16cid:durableId="1382169393">
    <w:abstractNumId w:val="6"/>
  </w:num>
  <w:num w:numId="8" w16cid:durableId="83889734">
    <w:abstractNumId w:val="1"/>
  </w:num>
  <w:num w:numId="9" w16cid:durableId="2061780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EC"/>
    <w:rsid w:val="00002A34"/>
    <w:rsid w:val="00057F76"/>
    <w:rsid w:val="0006019D"/>
    <w:rsid w:val="000C35F8"/>
    <w:rsid w:val="000C4BA4"/>
    <w:rsid w:val="000D5373"/>
    <w:rsid w:val="000E27EC"/>
    <w:rsid w:val="00100332"/>
    <w:rsid w:val="001014FE"/>
    <w:rsid w:val="0017271E"/>
    <w:rsid w:val="001A7049"/>
    <w:rsid w:val="001F16F9"/>
    <w:rsid w:val="001F36E9"/>
    <w:rsid w:val="002160A0"/>
    <w:rsid w:val="00217A7D"/>
    <w:rsid w:val="002234C7"/>
    <w:rsid w:val="002732F7"/>
    <w:rsid w:val="0028610B"/>
    <w:rsid w:val="00287609"/>
    <w:rsid w:val="002A7FF0"/>
    <w:rsid w:val="002F0D42"/>
    <w:rsid w:val="00300FD2"/>
    <w:rsid w:val="003515C4"/>
    <w:rsid w:val="00377493"/>
    <w:rsid w:val="00395627"/>
    <w:rsid w:val="003E4AD2"/>
    <w:rsid w:val="00400581"/>
    <w:rsid w:val="004160A5"/>
    <w:rsid w:val="004F2CBF"/>
    <w:rsid w:val="00523C61"/>
    <w:rsid w:val="005348C3"/>
    <w:rsid w:val="005609C4"/>
    <w:rsid w:val="00577438"/>
    <w:rsid w:val="005A1475"/>
    <w:rsid w:val="005E0D96"/>
    <w:rsid w:val="00612668"/>
    <w:rsid w:val="0062643A"/>
    <w:rsid w:val="00673A20"/>
    <w:rsid w:val="00753708"/>
    <w:rsid w:val="007F537D"/>
    <w:rsid w:val="0082667C"/>
    <w:rsid w:val="008A4BA1"/>
    <w:rsid w:val="008C637A"/>
    <w:rsid w:val="0092709D"/>
    <w:rsid w:val="0095203A"/>
    <w:rsid w:val="009530BE"/>
    <w:rsid w:val="009866AE"/>
    <w:rsid w:val="009E13E5"/>
    <w:rsid w:val="00A16868"/>
    <w:rsid w:val="00A518B3"/>
    <w:rsid w:val="00A51DF6"/>
    <w:rsid w:val="00AD35A3"/>
    <w:rsid w:val="00AF08A7"/>
    <w:rsid w:val="00B43ACD"/>
    <w:rsid w:val="00B46515"/>
    <w:rsid w:val="00B52D99"/>
    <w:rsid w:val="00B60922"/>
    <w:rsid w:val="00BB110F"/>
    <w:rsid w:val="00C01CE2"/>
    <w:rsid w:val="00C23B00"/>
    <w:rsid w:val="00C348CA"/>
    <w:rsid w:val="00C36D03"/>
    <w:rsid w:val="00CC322B"/>
    <w:rsid w:val="00CE22FC"/>
    <w:rsid w:val="00D03505"/>
    <w:rsid w:val="00D05749"/>
    <w:rsid w:val="00D17ED7"/>
    <w:rsid w:val="00DA4185"/>
    <w:rsid w:val="00DB579D"/>
    <w:rsid w:val="00DE2A34"/>
    <w:rsid w:val="00E01413"/>
    <w:rsid w:val="00E1195D"/>
    <w:rsid w:val="00E21336"/>
    <w:rsid w:val="00E66997"/>
    <w:rsid w:val="00E8289D"/>
    <w:rsid w:val="00ED5521"/>
    <w:rsid w:val="00FF275A"/>
    <w:rsid w:val="00FF40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AB87"/>
  <w15:chartTrackingRefBased/>
  <w15:docId w15:val="{AD864076-0F54-4DCE-8AB9-3D82099F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07D"/>
    <w:pPr>
      <w:spacing w:after="0" w:line="240" w:lineRule="auto"/>
    </w:pPr>
    <w:rPr>
      <w:rFonts w:ascii="Times New Roman" w:eastAsia="Times New Roman" w:hAnsi="Times New Roman" w:cs="Times New Roman"/>
      <w:kern w:val="0"/>
      <w:sz w:val="20"/>
      <w:szCs w:val="20"/>
      <w:lang w:val="ru-RU" w:eastAsia="uk-U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2FC"/>
    <w:pPr>
      <w:ind w:left="720"/>
      <w:contextualSpacing/>
    </w:pPr>
  </w:style>
  <w:style w:type="character" w:styleId="Hyperlink">
    <w:name w:val="Hyperlink"/>
    <w:basedOn w:val="DefaultParagraphFont"/>
    <w:uiPriority w:val="99"/>
    <w:unhideWhenUsed/>
    <w:rsid w:val="00CE22FC"/>
    <w:rPr>
      <w:color w:val="0563C1" w:themeColor="hyperlink"/>
      <w:u w:val="single"/>
    </w:rPr>
  </w:style>
  <w:style w:type="character" w:styleId="UnresolvedMention">
    <w:name w:val="Unresolved Mention"/>
    <w:basedOn w:val="DefaultParagraphFont"/>
    <w:uiPriority w:val="99"/>
    <w:semiHidden/>
    <w:unhideWhenUsed/>
    <w:rsid w:val="00CE22FC"/>
    <w:rPr>
      <w:color w:val="605E5C"/>
      <w:shd w:val="clear" w:color="auto" w:fill="E1DFDD"/>
    </w:rPr>
  </w:style>
  <w:style w:type="paragraph" w:styleId="Revision">
    <w:name w:val="Revision"/>
    <w:hidden/>
    <w:uiPriority w:val="99"/>
    <w:semiHidden/>
    <w:rsid w:val="00057F76"/>
    <w:pPr>
      <w:spacing w:after="0" w:line="240" w:lineRule="auto"/>
    </w:pPr>
    <w:rPr>
      <w:rFonts w:ascii="Times New Roman" w:eastAsia="Times New Roman" w:hAnsi="Times New Roman" w:cs="Times New Roman"/>
      <w:kern w:val="0"/>
      <w:sz w:val="20"/>
      <w:szCs w:val="20"/>
      <w:lang w:val="ru-RU"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3045">
      <w:bodyDiv w:val="1"/>
      <w:marLeft w:val="0"/>
      <w:marRight w:val="0"/>
      <w:marTop w:val="0"/>
      <w:marBottom w:val="0"/>
      <w:divBdr>
        <w:top w:val="none" w:sz="0" w:space="0" w:color="auto"/>
        <w:left w:val="none" w:sz="0" w:space="0" w:color="auto"/>
        <w:bottom w:val="none" w:sz="0" w:space="0" w:color="auto"/>
        <w:right w:val="none" w:sz="0" w:space="0" w:color="auto"/>
      </w:divBdr>
    </w:div>
    <w:div w:id="318583860">
      <w:bodyDiv w:val="1"/>
      <w:marLeft w:val="0"/>
      <w:marRight w:val="0"/>
      <w:marTop w:val="0"/>
      <w:marBottom w:val="0"/>
      <w:divBdr>
        <w:top w:val="none" w:sz="0" w:space="0" w:color="auto"/>
        <w:left w:val="none" w:sz="0" w:space="0" w:color="auto"/>
        <w:bottom w:val="none" w:sz="0" w:space="0" w:color="auto"/>
        <w:right w:val="none" w:sz="0" w:space="0" w:color="auto"/>
      </w:divBdr>
    </w:div>
    <w:div w:id="409427218">
      <w:bodyDiv w:val="1"/>
      <w:marLeft w:val="0"/>
      <w:marRight w:val="0"/>
      <w:marTop w:val="0"/>
      <w:marBottom w:val="0"/>
      <w:divBdr>
        <w:top w:val="none" w:sz="0" w:space="0" w:color="auto"/>
        <w:left w:val="none" w:sz="0" w:space="0" w:color="auto"/>
        <w:bottom w:val="none" w:sz="0" w:space="0" w:color="auto"/>
        <w:right w:val="none" w:sz="0" w:space="0" w:color="auto"/>
      </w:divBdr>
    </w:div>
    <w:div w:id="511917724">
      <w:bodyDiv w:val="1"/>
      <w:marLeft w:val="0"/>
      <w:marRight w:val="0"/>
      <w:marTop w:val="0"/>
      <w:marBottom w:val="0"/>
      <w:divBdr>
        <w:top w:val="none" w:sz="0" w:space="0" w:color="auto"/>
        <w:left w:val="none" w:sz="0" w:space="0" w:color="auto"/>
        <w:bottom w:val="none" w:sz="0" w:space="0" w:color="auto"/>
        <w:right w:val="none" w:sz="0" w:space="0" w:color="auto"/>
      </w:divBdr>
    </w:div>
    <w:div w:id="551884738">
      <w:bodyDiv w:val="1"/>
      <w:marLeft w:val="0"/>
      <w:marRight w:val="0"/>
      <w:marTop w:val="0"/>
      <w:marBottom w:val="0"/>
      <w:divBdr>
        <w:top w:val="none" w:sz="0" w:space="0" w:color="auto"/>
        <w:left w:val="none" w:sz="0" w:space="0" w:color="auto"/>
        <w:bottom w:val="none" w:sz="0" w:space="0" w:color="auto"/>
        <w:right w:val="none" w:sz="0" w:space="0" w:color="auto"/>
      </w:divBdr>
    </w:div>
    <w:div w:id="741370826">
      <w:bodyDiv w:val="1"/>
      <w:marLeft w:val="0"/>
      <w:marRight w:val="0"/>
      <w:marTop w:val="0"/>
      <w:marBottom w:val="0"/>
      <w:divBdr>
        <w:top w:val="none" w:sz="0" w:space="0" w:color="auto"/>
        <w:left w:val="none" w:sz="0" w:space="0" w:color="auto"/>
        <w:bottom w:val="none" w:sz="0" w:space="0" w:color="auto"/>
        <w:right w:val="none" w:sz="0" w:space="0" w:color="auto"/>
      </w:divBdr>
    </w:div>
    <w:div w:id="755322309">
      <w:bodyDiv w:val="1"/>
      <w:marLeft w:val="0"/>
      <w:marRight w:val="0"/>
      <w:marTop w:val="0"/>
      <w:marBottom w:val="0"/>
      <w:divBdr>
        <w:top w:val="none" w:sz="0" w:space="0" w:color="auto"/>
        <w:left w:val="none" w:sz="0" w:space="0" w:color="auto"/>
        <w:bottom w:val="none" w:sz="0" w:space="0" w:color="auto"/>
        <w:right w:val="none" w:sz="0" w:space="0" w:color="auto"/>
      </w:divBdr>
    </w:div>
    <w:div w:id="817841286">
      <w:bodyDiv w:val="1"/>
      <w:marLeft w:val="0"/>
      <w:marRight w:val="0"/>
      <w:marTop w:val="0"/>
      <w:marBottom w:val="0"/>
      <w:divBdr>
        <w:top w:val="none" w:sz="0" w:space="0" w:color="auto"/>
        <w:left w:val="none" w:sz="0" w:space="0" w:color="auto"/>
        <w:bottom w:val="none" w:sz="0" w:space="0" w:color="auto"/>
        <w:right w:val="none" w:sz="0" w:space="0" w:color="auto"/>
      </w:divBdr>
    </w:div>
    <w:div w:id="894439104">
      <w:bodyDiv w:val="1"/>
      <w:marLeft w:val="0"/>
      <w:marRight w:val="0"/>
      <w:marTop w:val="0"/>
      <w:marBottom w:val="0"/>
      <w:divBdr>
        <w:top w:val="none" w:sz="0" w:space="0" w:color="auto"/>
        <w:left w:val="none" w:sz="0" w:space="0" w:color="auto"/>
        <w:bottom w:val="none" w:sz="0" w:space="0" w:color="auto"/>
        <w:right w:val="none" w:sz="0" w:space="0" w:color="auto"/>
      </w:divBdr>
    </w:div>
    <w:div w:id="907152593">
      <w:bodyDiv w:val="1"/>
      <w:marLeft w:val="0"/>
      <w:marRight w:val="0"/>
      <w:marTop w:val="0"/>
      <w:marBottom w:val="0"/>
      <w:divBdr>
        <w:top w:val="none" w:sz="0" w:space="0" w:color="auto"/>
        <w:left w:val="none" w:sz="0" w:space="0" w:color="auto"/>
        <w:bottom w:val="none" w:sz="0" w:space="0" w:color="auto"/>
        <w:right w:val="none" w:sz="0" w:space="0" w:color="auto"/>
      </w:divBdr>
    </w:div>
    <w:div w:id="1009870912">
      <w:bodyDiv w:val="1"/>
      <w:marLeft w:val="0"/>
      <w:marRight w:val="0"/>
      <w:marTop w:val="0"/>
      <w:marBottom w:val="0"/>
      <w:divBdr>
        <w:top w:val="none" w:sz="0" w:space="0" w:color="auto"/>
        <w:left w:val="none" w:sz="0" w:space="0" w:color="auto"/>
        <w:bottom w:val="none" w:sz="0" w:space="0" w:color="auto"/>
        <w:right w:val="none" w:sz="0" w:space="0" w:color="auto"/>
      </w:divBdr>
    </w:div>
    <w:div w:id="1051225812">
      <w:bodyDiv w:val="1"/>
      <w:marLeft w:val="0"/>
      <w:marRight w:val="0"/>
      <w:marTop w:val="0"/>
      <w:marBottom w:val="0"/>
      <w:divBdr>
        <w:top w:val="none" w:sz="0" w:space="0" w:color="auto"/>
        <w:left w:val="none" w:sz="0" w:space="0" w:color="auto"/>
        <w:bottom w:val="none" w:sz="0" w:space="0" w:color="auto"/>
        <w:right w:val="none" w:sz="0" w:space="0" w:color="auto"/>
      </w:divBdr>
    </w:div>
    <w:div w:id="1159691406">
      <w:bodyDiv w:val="1"/>
      <w:marLeft w:val="0"/>
      <w:marRight w:val="0"/>
      <w:marTop w:val="0"/>
      <w:marBottom w:val="0"/>
      <w:divBdr>
        <w:top w:val="none" w:sz="0" w:space="0" w:color="auto"/>
        <w:left w:val="none" w:sz="0" w:space="0" w:color="auto"/>
        <w:bottom w:val="none" w:sz="0" w:space="0" w:color="auto"/>
        <w:right w:val="none" w:sz="0" w:space="0" w:color="auto"/>
      </w:divBdr>
    </w:div>
    <w:div w:id="1265500287">
      <w:bodyDiv w:val="1"/>
      <w:marLeft w:val="0"/>
      <w:marRight w:val="0"/>
      <w:marTop w:val="0"/>
      <w:marBottom w:val="0"/>
      <w:divBdr>
        <w:top w:val="none" w:sz="0" w:space="0" w:color="auto"/>
        <w:left w:val="none" w:sz="0" w:space="0" w:color="auto"/>
        <w:bottom w:val="none" w:sz="0" w:space="0" w:color="auto"/>
        <w:right w:val="none" w:sz="0" w:space="0" w:color="auto"/>
      </w:divBdr>
    </w:div>
    <w:div w:id="1600485838">
      <w:bodyDiv w:val="1"/>
      <w:marLeft w:val="0"/>
      <w:marRight w:val="0"/>
      <w:marTop w:val="0"/>
      <w:marBottom w:val="0"/>
      <w:divBdr>
        <w:top w:val="none" w:sz="0" w:space="0" w:color="auto"/>
        <w:left w:val="none" w:sz="0" w:space="0" w:color="auto"/>
        <w:bottom w:val="none" w:sz="0" w:space="0" w:color="auto"/>
        <w:right w:val="none" w:sz="0" w:space="0" w:color="auto"/>
      </w:divBdr>
    </w:div>
    <w:div w:id="1686783245">
      <w:bodyDiv w:val="1"/>
      <w:marLeft w:val="0"/>
      <w:marRight w:val="0"/>
      <w:marTop w:val="0"/>
      <w:marBottom w:val="0"/>
      <w:divBdr>
        <w:top w:val="none" w:sz="0" w:space="0" w:color="auto"/>
        <w:left w:val="none" w:sz="0" w:space="0" w:color="auto"/>
        <w:bottom w:val="none" w:sz="0" w:space="0" w:color="auto"/>
        <w:right w:val="none" w:sz="0" w:space="0" w:color="auto"/>
      </w:divBdr>
    </w:div>
    <w:div w:id="1806658146">
      <w:bodyDiv w:val="1"/>
      <w:marLeft w:val="0"/>
      <w:marRight w:val="0"/>
      <w:marTop w:val="0"/>
      <w:marBottom w:val="0"/>
      <w:divBdr>
        <w:top w:val="none" w:sz="0" w:space="0" w:color="auto"/>
        <w:left w:val="none" w:sz="0" w:space="0" w:color="auto"/>
        <w:bottom w:val="none" w:sz="0" w:space="0" w:color="auto"/>
        <w:right w:val="none" w:sz="0" w:space="0" w:color="auto"/>
      </w:divBdr>
    </w:div>
    <w:div w:id="1875926309">
      <w:bodyDiv w:val="1"/>
      <w:marLeft w:val="0"/>
      <w:marRight w:val="0"/>
      <w:marTop w:val="0"/>
      <w:marBottom w:val="0"/>
      <w:divBdr>
        <w:top w:val="none" w:sz="0" w:space="0" w:color="auto"/>
        <w:left w:val="none" w:sz="0" w:space="0" w:color="auto"/>
        <w:bottom w:val="none" w:sz="0" w:space="0" w:color="auto"/>
        <w:right w:val="none" w:sz="0" w:space="0" w:color="auto"/>
      </w:divBdr>
    </w:div>
    <w:div w:id="206910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4810</Words>
  <Characters>2742</Characters>
  <Application>Microsoft Office Word</Application>
  <DocSecurity>0</DocSecurity>
  <Lines>22</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Vitalii Nesteruk</dc:creator>
  <cp:keywords/>
  <dc:description/>
  <cp:lastModifiedBy>Vitalii Nesteruk</cp:lastModifiedBy>
  <cp:revision>5</cp:revision>
  <dcterms:created xsi:type="dcterms:W3CDTF">2024-09-17T13:05:00Z</dcterms:created>
  <dcterms:modified xsi:type="dcterms:W3CDTF">2024-09-17T22:18:00Z</dcterms:modified>
</cp:coreProperties>
</file>