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CD36" w14:textId="2510D513" w:rsidR="00997B4C" w:rsidRPr="00997B4C" w:rsidRDefault="00997B4C" w:rsidP="008028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97B4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ІНВЕСТИЦІЙНА ПРИВАБЛИВІСТЬ ЕКОНОМІКИ УКРАЇНИ</w:t>
      </w:r>
    </w:p>
    <w:p w14:paraId="5846F921" w14:textId="3A340177" w:rsidR="00802850" w:rsidRPr="00052459" w:rsidRDefault="00741D1A" w:rsidP="000524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5245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Поліщук Наталія Володимирівна,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97B4C" w:rsidRPr="000524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Ніколаєва Анастасія Павлівна</w:t>
      </w:r>
      <w:r w:rsidR="00052459" w:rsidRPr="0005245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</w:p>
    <w:p w14:paraId="7157C5A8" w14:textId="77777777" w:rsidR="00052459" w:rsidRDefault="00802850" w:rsidP="0080285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997B4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Донецький національний університет імені</w:t>
      </w:r>
      <w:r w:rsidR="0043118F" w:rsidRPr="00997B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В</w:t>
      </w:r>
      <w:r w:rsidRPr="00997B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асиля </w:t>
      </w:r>
      <w:r w:rsidR="0043118F" w:rsidRPr="00997B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</w:t>
      </w:r>
      <w:r w:rsidRPr="00997B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туса</w:t>
      </w:r>
      <w:r w:rsidR="00052459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,</w:t>
      </w:r>
    </w:p>
    <w:p w14:paraId="5FA8BBAB" w14:textId="576B32AA" w:rsidR="0043118F" w:rsidRDefault="00052459" w:rsidP="0080285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м. Вінниця,</w:t>
      </w:r>
      <w:r w:rsidR="00802850" w:rsidRPr="00997B4C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Україна</w:t>
      </w:r>
    </w:p>
    <w:p w14:paraId="66000C82" w14:textId="18591F8A" w:rsidR="00052459" w:rsidRPr="00074DF9" w:rsidRDefault="00052459" w:rsidP="00802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5245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74DF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704190" w:rsidRPr="002A2D52">
        <w:rPr>
          <w:lang w:val="uk-UA"/>
        </w:rPr>
        <w:t xml:space="preserve"> </w:t>
      </w:r>
      <w:hyperlink r:id="rId5" w:history="1">
        <w:r w:rsidR="00704190" w:rsidRPr="00C00C12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n.polishchuk@donnu.edu.ua</w:t>
        </w:r>
      </w:hyperlink>
      <w:r w:rsidR="007041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074D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960E9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nikolaieva</w:t>
        </w:r>
        <w:r w:rsidRPr="00074DF9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r w:rsidRPr="00960E9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</w:t>
        </w:r>
        <w:r w:rsidRPr="00074DF9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@</w:t>
        </w:r>
        <w:r w:rsidRPr="00960E9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donnu</w:t>
        </w:r>
        <w:r w:rsidRPr="00074DF9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r w:rsidRPr="00960E9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Pr="00074DF9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.</w:t>
        </w:r>
        <w:proofErr w:type="spellStart"/>
        <w:r w:rsidRPr="00960E9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14:paraId="57614B67" w14:textId="60D7B7CF" w:rsidR="00052459" w:rsidRPr="00074DF9" w:rsidRDefault="00052459" w:rsidP="008028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B36C52" w14:textId="7FCA8329" w:rsidR="00052459" w:rsidRDefault="00FF1187" w:rsidP="00FF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1187">
        <w:rPr>
          <w:rFonts w:ascii="Times New Roman" w:eastAsia="Calibri" w:hAnsi="Times New Roman" w:cs="Times New Roman"/>
          <w:sz w:val="28"/>
          <w:szCs w:val="28"/>
          <w:lang w:val="uk-UA"/>
        </w:rPr>
        <w:t>В умовах економічної кризи інвестиції стають ключовим інструментом для створення необхідних передумов виходу з неї. Вони мають вирішальне значення для стимулювання економічного зростання та забезпечення прогресивного розвитку країни. Однак основною перешкодою для розвитку всіх секторів економіки є брак капіталу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, т</w:t>
      </w:r>
      <w:r w:rsidRPr="00FF11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ому особливу 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увагу</w:t>
      </w:r>
      <w:r w:rsidRPr="00FF11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потребує</w:t>
      </w:r>
      <w:r w:rsidRPr="00FF11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стабільності інвестиційного процесу в державі</w:t>
      </w:r>
      <w:r w:rsid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4D5C" w:rsidRPr="00074DF9">
        <w:rPr>
          <w:rFonts w:ascii="Times New Roman" w:eastAsia="Calibri" w:hAnsi="Times New Roman" w:cs="Times New Roman"/>
          <w:sz w:val="28"/>
          <w:szCs w:val="28"/>
          <w:lang w:val="uk-UA"/>
        </w:rPr>
        <w:t>[1]</w:t>
      </w:r>
      <w:r w:rsidRPr="00FF118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EEFD9A0" w14:textId="498CC7F4" w:rsidR="00C44D5C" w:rsidRPr="00C44D5C" w:rsidRDefault="00C44D5C" w:rsidP="00FF1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>Прямі іноземні інвестиції є ключовим фактором для економічного розвитку України, сприяючи модернізації галузей, створенню робочих місць та підвищенню конкурентоспроможності на міжнародному ринку.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инаміка обсягів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>рям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іноземн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інвестиці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Україні 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протягом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2013 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наведена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рис</w:t>
      </w:r>
      <w:r w:rsidR="00074DF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  <w:r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536E006" w14:textId="2DD52B36" w:rsidR="008269C4" w:rsidRDefault="008269C4" w:rsidP="00826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B810728" wp14:editId="7EDFF5E6">
            <wp:extent cx="6103620" cy="3497580"/>
            <wp:effectExtent l="0" t="0" r="11430" b="7620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5861D5CD-70B8-4C37-A6FF-03AD05DA0A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5E7952D" w14:textId="417EDCA3" w:rsidR="008269C4" w:rsidRPr="002A2D52" w:rsidRDefault="008269C4" w:rsidP="008269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Рисунок 1. Обсяг прямих іноземних інвестицій</w:t>
      </w:r>
      <w:r w:rsid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млн </w:t>
      </w:r>
      <w:proofErr w:type="spellStart"/>
      <w:r w:rsidR="005B10F1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5B10F1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C44D5C" w:rsidRPr="002A2D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[2]</w:t>
      </w:r>
    </w:p>
    <w:p w14:paraId="35109145" w14:textId="77777777" w:rsidR="00E475A3" w:rsidRDefault="00E475A3" w:rsidP="006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2907C5" w14:textId="3091EAEF" w:rsidR="00D846DD" w:rsidRDefault="00E475A3" w:rsidP="006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2014–2015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спостеріга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єть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ся різке падіння інвестицій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зокрема,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2014 році </w:t>
      </w:r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обсяг прямих іноземних інвестицій становив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410 млн </w:t>
      </w:r>
      <w:proofErr w:type="spellStart"/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DA56F4" w:rsidRPr="0007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r w:rsidR="00DA56F4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2015 році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відтік </w:t>
      </w:r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становив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458 млн </w:t>
      </w:r>
      <w:proofErr w:type="spellStart"/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США, що обумовлено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початком </w:t>
      </w:r>
      <w:r w:rsidR="00DA56F4">
        <w:rPr>
          <w:rFonts w:ascii="Times New Roman" w:eastAsia="Calibri" w:hAnsi="Times New Roman" w:cs="Times New Roman"/>
          <w:sz w:val="28"/>
          <w:szCs w:val="28"/>
          <w:lang w:val="uk-UA"/>
        </w:rPr>
        <w:t>військового вторгнення на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сході України та політичною нестабільністю.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ле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очинаючи з 2016 року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відбувається зростання прямих іноземних інвестицій до рівня 3810 </w:t>
      </w:r>
      <w:r w:rsidR="00824F4B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млн </w:t>
      </w:r>
      <w:proofErr w:type="spellStart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Протягом 2016-2019 рр.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інвестиції зростають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, і у 2019 р.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становили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5860 млн </w:t>
      </w:r>
      <w:proofErr w:type="spellStart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, що свідчить про відновлен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довір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боку іноземних інвесторів.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Проте у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2020 р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>оці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спостерігається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значний відтік прямих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іноземних інвестицій, який досяг -868 млн </w:t>
      </w:r>
      <w:proofErr w:type="spellStart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США, що спричинено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пандемією COVID-19, яка 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зумовила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24F4B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глобальн</w:t>
      </w:r>
      <w:r w:rsidR="00824F4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24F4B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474E" w:rsidRPr="0050474E">
        <w:rPr>
          <w:rFonts w:ascii="Times New Roman" w:eastAsia="Calibri" w:hAnsi="Times New Roman" w:cs="Times New Roman"/>
          <w:sz w:val="28"/>
          <w:szCs w:val="28"/>
          <w:lang w:val="uk-UA"/>
        </w:rPr>
        <w:t>економічну кризу по всьому світу</w:t>
      </w:r>
      <w:r w:rsidR="006D77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392E4244" w14:textId="6AC6F387" w:rsidR="0050474E" w:rsidRDefault="002D64E0" w:rsidP="006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2021 р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спостерігається значний приріст інвестицій – до 6687 млн </w:t>
      </w:r>
      <w:proofErr w:type="spellStart"/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є найвищим показником 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протягом 2013-2024 рр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однак у 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2022 р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обсяг </w:t>
      </w:r>
      <w:r w:rsidR="006D7762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прямих іноземних інвестицій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різко 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зменшився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1152 млн </w:t>
      </w:r>
      <w:proofErr w:type="spellStart"/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пов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ʼ</w:t>
      </w:r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яза</w:t>
      </w:r>
      <w:r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>но</w:t>
      </w:r>
      <w:proofErr w:type="spellEnd"/>
      <w:r w:rsidR="0050474E" w:rsidRPr="002D64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повномасштабним вторгненням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територію Укр</w:t>
      </w:r>
      <w:r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аїни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D7762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1D1A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 році відбулося часткове відновлення інвестицій до 4247 млн </w:t>
      </w:r>
      <w:proofErr w:type="spellStart"/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741D1A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D7762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Статистичні дані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свідчать про те</w:t>
      </w:r>
      <w:r w:rsidR="006D7762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прямі іноземні </w:t>
      </w:r>
      <w:r w:rsidR="006D7762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інвестиції 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зменшилися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1838 млн </w:t>
      </w:r>
      <w:proofErr w:type="spellStart"/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50474E" w:rsidRPr="00741D1A">
        <w:rPr>
          <w:rFonts w:ascii="Times New Roman" w:eastAsia="Calibri" w:hAnsi="Times New Roman" w:cs="Times New Roman"/>
          <w:sz w:val="28"/>
          <w:szCs w:val="28"/>
          <w:lang w:val="uk-UA"/>
        </w:rPr>
        <w:t>, що зумовлено триваючими військовими діями та економічною нестабільністю.</w:t>
      </w:r>
    </w:p>
    <w:p w14:paraId="1A44ABC9" w14:textId="57141A6C" w:rsidR="005B10F1" w:rsidRDefault="005B10F1" w:rsidP="006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Загалом, динаміка прямих іноземних інвестицій в 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економіку 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>Україн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має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різк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коливання, які залежать як від внутрішніх (військовий конфлікт, реформи), так і зовнішніх (пандемія, 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економічні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кризи) 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чинників</w:t>
      </w:r>
      <w:r w:rsidR="006F442E">
        <w:rPr>
          <w:rFonts w:ascii="Times New Roman" w:eastAsia="Calibri" w:hAnsi="Times New Roman" w:cs="Times New Roman"/>
          <w:sz w:val="28"/>
          <w:szCs w:val="28"/>
          <w:lang w:val="uk-UA"/>
        </w:rPr>
        <w:t>, п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роте політична та економічна нестабільність продовжує </w:t>
      </w:r>
      <w:r w:rsidR="006F44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негативно 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впливати на 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інвестиційну привабливість економіки </w:t>
      </w:r>
      <w:r w:rsidR="006F442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773D43">
        <w:rPr>
          <w:rFonts w:ascii="Times New Roman" w:eastAsia="Calibri" w:hAnsi="Times New Roman" w:cs="Times New Roman"/>
          <w:sz w:val="28"/>
          <w:szCs w:val="28"/>
          <w:lang w:val="uk-UA"/>
        </w:rPr>
        <w:t>країни</w:t>
      </w: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3923CCD" w14:textId="2A64C0BF" w:rsidR="008E368A" w:rsidRPr="008E368A" w:rsidRDefault="00741D1A" w:rsidP="006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Проаналізуємо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8E368A" w:rsidRP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озподіл залучених прямих іноземних інвестицій за </w:t>
      </w:r>
      <w:r w:rsidR="00CA58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деякими </w:t>
      </w:r>
      <w:r w:rsidR="008E368A" w:rsidRPr="008E368A">
        <w:rPr>
          <w:rFonts w:ascii="Times New Roman" w:eastAsia="Calibri" w:hAnsi="Times New Roman" w:cs="Times New Roman"/>
          <w:sz w:val="28"/>
          <w:szCs w:val="28"/>
          <w:lang w:val="uk-UA"/>
        </w:rPr>
        <w:t>регіонами України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>, адже він</w:t>
      </w:r>
      <w:r w:rsidR="008E368A" w:rsidRP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важливим показником розвитку регіональної економіки</w:t>
      </w:r>
      <w:r w:rsidR="00CA58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="008E368A" w:rsidRP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демонструє, наскільки різні області приваблюють інвесторів та як розподіляються інвестиційні ресурси по країні. </w:t>
      </w:r>
      <w:r w:rsidR="008E368A" w:rsidRPr="00C44D5C">
        <w:rPr>
          <w:rFonts w:ascii="Times New Roman" w:eastAsia="Calibri" w:hAnsi="Times New Roman" w:cs="Times New Roman"/>
          <w:sz w:val="28"/>
          <w:szCs w:val="28"/>
          <w:lang w:val="uk-UA"/>
        </w:rPr>
        <w:t>На графіку зображена динаміка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8E368A"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>озподіл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E368A"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залучених прямих іноземних інвестицій за регіонами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протягом 2022-2024 рр. (</w:t>
      </w:r>
      <w:r w:rsidRPr="0060642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квартал )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(рис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E36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2).</w:t>
      </w:r>
    </w:p>
    <w:p w14:paraId="06BBA354" w14:textId="4EFE4450" w:rsidR="006353ED" w:rsidRDefault="005B10F1" w:rsidP="006353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C646F52" wp14:editId="3A5406F8">
            <wp:extent cx="6088380" cy="3802380"/>
            <wp:effectExtent l="0" t="0" r="7620" b="7620"/>
            <wp:docPr id="3" name="Ді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D0696911-5505-4CE4-B60C-88F3631180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8F970B" w14:textId="26DE7916" w:rsidR="005B10F1" w:rsidRPr="00741D1A" w:rsidRDefault="005B10F1" w:rsidP="005B10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0F1">
        <w:rPr>
          <w:rFonts w:ascii="Times New Roman" w:eastAsia="Calibri" w:hAnsi="Times New Roman" w:cs="Times New Roman"/>
          <w:sz w:val="28"/>
          <w:szCs w:val="28"/>
          <w:lang w:val="uk-UA"/>
        </w:rPr>
        <w:t>Рисунок 2. Розподіл залучених прямих іноземних інвестицій за регіонами</w:t>
      </w:r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E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2022-2024 рр. </w:t>
      </w:r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606422" w:rsidRPr="0060642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квартал</w:t>
      </w:r>
      <w:r w:rsidR="008E55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млн </w:t>
      </w:r>
      <w:proofErr w:type="spellStart"/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606422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C44D5C" w:rsidRPr="00074DF9">
        <w:rPr>
          <w:rFonts w:ascii="Times New Roman" w:eastAsia="Calibri" w:hAnsi="Times New Roman" w:cs="Times New Roman"/>
          <w:sz w:val="28"/>
          <w:szCs w:val="28"/>
        </w:rPr>
        <w:t xml:space="preserve"> [3]</w:t>
      </w:r>
    </w:p>
    <w:p w14:paraId="129C295C" w14:textId="77777777" w:rsidR="002C6EB6" w:rsidRDefault="002C6EB6" w:rsidP="00A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087EA0F" w14:textId="2030FE65" w:rsidR="00874F9C" w:rsidRDefault="00AC6517" w:rsidP="00A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Залучення прямих іноземних інвестицій в 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Полтавськ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свідчить про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зростання від 154,2 млн</w:t>
      </w:r>
      <w:r w:rsidRPr="00AC6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2022 році до 213 млн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Pr="0007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2023 році. 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Однак у 2024 році прогнозується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зменшення прямих іноземних інвестицій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-9 млн.</w:t>
      </w:r>
      <w:r w:rsid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США.</w:t>
      </w:r>
      <w:r w:rsidRPr="00AC6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В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інницьк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 протягом 2021-2024 рр. активно надходили прямі іноземні інвестиції, що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повʼязано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вигідним географічним положенням і переважанням залученню інвестицій у сільське господарство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8312B31" w14:textId="7898FD0E" w:rsidR="00874F9C" w:rsidRPr="00874F9C" w:rsidRDefault="00AC6517" w:rsidP="002C6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Відтік прямих іноземних інвестицій протягом 2021-2024 рр. спостерігається у Київській, Хмельницькій, Черкаській, Житомирській, Миколаївській областях.</w:t>
      </w:r>
      <w:r w:rsidR="00177D1E" w:rsidRPr="00177D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77D1E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177D1E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ізке зниження</w:t>
      </w:r>
      <w:r w:rsidR="00177D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прямих іноземних інвестицій 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2C6EB6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Миколаївськ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="002C6EB6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област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і у</w:t>
      </w:r>
      <w:r w:rsidR="002C6EB6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-8,8 млн </w:t>
      </w:r>
      <w:proofErr w:type="spellStart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США. є 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наслідком військових дій у регіоні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EB6" w:rsidRPr="002A2D52">
        <w:rPr>
          <w:rFonts w:ascii="Times New Roman" w:eastAsia="Calibri" w:hAnsi="Times New Roman" w:cs="Times New Roman"/>
          <w:sz w:val="28"/>
          <w:szCs w:val="28"/>
          <w:lang w:val="uk-UA"/>
        </w:rPr>
        <w:t>[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C6EB6" w:rsidRPr="002A2D52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="00874F9C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21768FE" w14:textId="29E54EAF" w:rsidR="00874F9C" w:rsidRPr="00874F9C" w:rsidRDefault="00874F9C" w:rsidP="00874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вецька область демонструє стабільність та незначні інвестиційні прирости: від 0,7 млн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2022 році до 3,5 млн </w:t>
      </w:r>
      <w:proofErr w:type="spellStart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2C6EB6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2023 і 7,9 млн </w:t>
      </w:r>
      <w:proofErr w:type="spellStart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2C6EB6"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у 2024 році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EB6" w:rsidRPr="002C6EB6">
        <w:rPr>
          <w:rFonts w:ascii="Times New Roman" w:eastAsia="Calibri" w:hAnsi="Times New Roman" w:cs="Times New Roman"/>
          <w:sz w:val="28"/>
          <w:szCs w:val="28"/>
        </w:rPr>
        <w:t>[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C6EB6" w:rsidRPr="002A2D52">
        <w:rPr>
          <w:rFonts w:ascii="Times New Roman" w:eastAsia="Calibri" w:hAnsi="Times New Roman" w:cs="Times New Roman"/>
          <w:sz w:val="28"/>
          <w:szCs w:val="28"/>
        </w:rPr>
        <w:t>]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AF55D2A" w14:textId="734D1601" w:rsidR="00874F9C" w:rsidRPr="00874F9C" w:rsidRDefault="00874F9C" w:rsidP="00AC65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Київ беззаперечний лідер за обсягом 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прямих іноземних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інвестицій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адже у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2022 році показники склали 142,1 млн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2023 році відбулося незначне зниження до 98,6 млн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але у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2024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ці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залучення прямих іноземних інвестицій становить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994,5 млн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дол</w:t>
      </w:r>
      <w:proofErr w:type="spellEnd"/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. США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свідчить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плановані великі інфраструктурні 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зміни та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бізнес-</w:t>
      </w:r>
      <w:proofErr w:type="spellStart"/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AC6517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кти</w:t>
      </w:r>
      <w:proofErr w:type="spellEnd"/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столиці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EB6" w:rsidRPr="002C6EB6">
        <w:rPr>
          <w:rFonts w:ascii="Times New Roman" w:eastAsia="Calibri" w:hAnsi="Times New Roman" w:cs="Times New Roman"/>
          <w:sz w:val="28"/>
          <w:szCs w:val="28"/>
        </w:rPr>
        <w:t>[</w:t>
      </w:r>
      <w:r w:rsidR="002C6EB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C6EB6" w:rsidRPr="002C6EB6">
        <w:rPr>
          <w:rFonts w:ascii="Times New Roman" w:eastAsia="Calibri" w:hAnsi="Times New Roman" w:cs="Times New Roman"/>
          <w:sz w:val="28"/>
          <w:szCs w:val="28"/>
        </w:rPr>
        <w:t>]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2123056" w14:textId="5FCC966E" w:rsidR="00E847BE" w:rsidRDefault="00874F9C" w:rsidP="00874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Загалом, інвестиційний клімат в Україні залишається складним і залежить від регіональних особливостей, 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також від 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політичн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стабільн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, економічн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активн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ості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тощо</w:t>
      </w:r>
      <w:r w:rsidRPr="00874F9C">
        <w:rPr>
          <w:rFonts w:ascii="Times New Roman" w:eastAsia="Calibri" w:hAnsi="Times New Roman" w:cs="Times New Roman"/>
          <w:sz w:val="28"/>
          <w:szCs w:val="28"/>
          <w:lang w:val="uk-UA"/>
        </w:rPr>
        <w:t>. Київ є центром притоку іноземного капіталу, тоді як деякі області, особливо постраждалі від конфлікту, демонструють негативні або нестабільні тенденції.</w:t>
      </w:r>
    </w:p>
    <w:p w14:paraId="7988C890" w14:textId="4D006A6F" w:rsidR="000A4669" w:rsidRPr="000A4669" w:rsidRDefault="000A4669" w:rsidP="00874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покращення ситуації 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залучення прямих іноземних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інвестиці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економіку 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>Україн</w:t>
      </w:r>
      <w:r w:rsidR="00555D00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необхідно впроваджувати системні зміни на державному рівні, зокрема</w:t>
      </w:r>
      <w:r w:rsidR="00741D1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0A46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сфері правосуддя, боротьби з корупцією, підтримки бізнесу та розвитку інфраструктури. Крім того, важливо створювати сприятливі умови для інвесторів у кожному регіоні, особливо у постраждалих від війни та активно розвивати міжнародне співробітництво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85F54A1" w14:textId="1F6B7B1B" w:rsidR="00E847BE" w:rsidRPr="00537C64" w:rsidRDefault="00E847BE" w:rsidP="005B10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7C64">
        <w:rPr>
          <w:rFonts w:ascii="Times New Roman" w:eastAsia="Calibri" w:hAnsi="Times New Roman" w:cs="Times New Roman"/>
          <w:sz w:val="28"/>
          <w:szCs w:val="28"/>
          <w:lang w:val="uk-UA"/>
        </w:rPr>
        <w:t>Перелік джерел посилання:</w:t>
      </w:r>
    </w:p>
    <w:p w14:paraId="795E7181" w14:textId="2EC3830F" w:rsidR="00E847BE" w:rsidRPr="00E847BE" w:rsidRDefault="00E847BE" w:rsidP="00C45B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47BE">
        <w:rPr>
          <w:rFonts w:ascii="Times New Roman" w:eastAsia="Calibri" w:hAnsi="Times New Roman" w:cs="Times New Roman"/>
          <w:sz w:val="28"/>
          <w:szCs w:val="28"/>
        </w:rPr>
        <w:t xml:space="preserve">Фурман І. </w:t>
      </w:r>
      <w:proofErr w:type="spellStart"/>
      <w:r w:rsidRPr="00E847BE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Pr="00E8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7BE">
        <w:rPr>
          <w:rFonts w:ascii="Times New Roman" w:eastAsia="Calibri" w:hAnsi="Times New Roman" w:cs="Times New Roman"/>
          <w:sz w:val="28"/>
          <w:szCs w:val="28"/>
        </w:rPr>
        <w:t>інвестиційної</w:t>
      </w:r>
      <w:proofErr w:type="spellEnd"/>
      <w:r w:rsidRPr="00E84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7BE">
        <w:rPr>
          <w:rFonts w:ascii="Times New Roman" w:eastAsia="Calibri" w:hAnsi="Times New Roman" w:cs="Times New Roman"/>
          <w:sz w:val="28"/>
          <w:szCs w:val="28"/>
        </w:rPr>
        <w:t>сфери</w:t>
      </w:r>
      <w:proofErr w:type="spellEnd"/>
      <w:r w:rsidRPr="00E847BE">
        <w:rPr>
          <w:rFonts w:ascii="Times New Roman" w:eastAsia="Calibri" w:hAnsi="Times New Roman" w:cs="Times New Roman"/>
          <w:sz w:val="28"/>
          <w:szCs w:val="28"/>
        </w:rPr>
        <w:t xml:space="preserve"> в Україні</w:t>
      </w:r>
      <w:r w:rsidRPr="00E847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C45B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5B3D" w:rsidRPr="005C6F6F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C4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rusnauka</w:t>
        </w:r>
        <w:proofErr w:type="spellEnd"/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/12_</w:t>
        </w:r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KPSN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_2010/</w:t>
        </w:r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Economics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/62666.</w:t>
        </w:r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doc</w:t>
        </w:r>
        <w:r w:rsidR="00C45B3D" w:rsidRPr="00C45B3D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45B3D"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E847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45B3D" w:rsidRPr="005C6F6F">
        <w:rPr>
          <w:rFonts w:ascii="Times New Roman" w:hAnsi="Times New Roman" w:cs="Times New Roman"/>
          <w:sz w:val="28"/>
          <w:szCs w:val="28"/>
          <w:lang w:val="uk-UA"/>
        </w:rPr>
        <w:t>(дата звернення</w:t>
      </w:r>
      <w:r w:rsidR="00C45B3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5B3D" w:rsidRPr="005C6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B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5D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45B3D" w:rsidRPr="005C6F6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45B3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45B3D" w:rsidRPr="005C6F6F">
        <w:rPr>
          <w:rFonts w:ascii="Times New Roman" w:hAnsi="Times New Roman" w:cs="Times New Roman"/>
          <w:sz w:val="28"/>
          <w:szCs w:val="28"/>
          <w:lang w:val="uk-UA"/>
        </w:rPr>
        <w:t>.2024)</w:t>
      </w:r>
    </w:p>
    <w:p w14:paraId="3CE61DDD" w14:textId="7A0FB237" w:rsidR="00E847BE" w:rsidRPr="00C45B3D" w:rsidRDefault="00C45B3D" w:rsidP="00C45B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Мінфін. </w:t>
      </w:r>
      <w:r w:rsidRPr="00C45B3D">
        <w:rPr>
          <w:rFonts w:ascii="Times New Roman" w:eastAsia="Calibri" w:hAnsi="Times New Roman" w:cs="Times New Roman"/>
          <w:sz w:val="28"/>
          <w:szCs w:val="28"/>
          <w:lang w:val="uk-UA"/>
        </w:rPr>
        <w:t>Прямі іноземні інвестиції (ПІІ) в Україну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C4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URL: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https://index.minfin.com.ua/ua/economy/fdi/</w:t>
        </w:r>
      </w:hyperlink>
      <w:r w:rsidR="00E847BE" w:rsidRPr="00E847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(дата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5D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.2024)</w:t>
      </w:r>
    </w:p>
    <w:p w14:paraId="2AC2E6B9" w14:textId="77777777" w:rsidR="00CA5864" w:rsidRPr="00CA5864" w:rsidRDefault="00C45B3D" w:rsidP="00CA58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Національний банк України. Статистика зовнішнього сектору.</w:t>
      </w:r>
      <w:r w:rsidRPr="00C45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URL: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1B34AE">
          <w:rPr>
            <w:rStyle w:val="a4"/>
            <w:rFonts w:ascii="Times New Roman" w:eastAsia="Calibri" w:hAnsi="Times New Roman" w:cs="Times New Roman"/>
            <w:sz w:val="28"/>
            <w:szCs w:val="28"/>
            <w:lang w:val="uk-UA"/>
          </w:rPr>
          <w:t>https://bank.gov.ua/ua/statistic/sector-external</w:t>
        </w:r>
      </w:hyperlink>
      <w:r w:rsidR="00E847BE" w:rsidRPr="00E847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(дата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5D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C6F6F">
        <w:rPr>
          <w:rFonts w:ascii="Times New Roman" w:hAnsi="Times New Roman" w:cs="Times New Roman"/>
          <w:sz w:val="28"/>
          <w:szCs w:val="28"/>
          <w:lang w:val="uk-UA"/>
        </w:rPr>
        <w:t>.2024)</w:t>
      </w:r>
    </w:p>
    <w:p w14:paraId="687CA3CD" w14:textId="77777777" w:rsidR="002A2D52" w:rsidRPr="002A2D52" w:rsidRDefault="00CA5864" w:rsidP="00E847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5864">
        <w:rPr>
          <w:rFonts w:ascii="Times New Roman" w:hAnsi="Times New Roman" w:cs="Times New Roman"/>
          <w:sz w:val="28"/>
          <w:szCs w:val="28"/>
          <w:lang w:val="uk-UA"/>
        </w:rPr>
        <w:t xml:space="preserve">Поліщук Н. В., </w:t>
      </w:r>
      <w:proofErr w:type="spellStart"/>
      <w:r w:rsidRPr="00CA5864">
        <w:rPr>
          <w:rFonts w:ascii="Times New Roman" w:hAnsi="Times New Roman" w:cs="Times New Roman"/>
          <w:sz w:val="28"/>
          <w:szCs w:val="28"/>
          <w:lang w:val="uk-UA"/>
        </w:rPr>
        <w:t>Попадюк</w:t>
      </w:r>
      <w:proofErr w:type="spellEnd"/>
      <w:r w:rsidRPr="00CA5864">
        <w:rPr>
          <w:rFonts w:ascii="Times New Roman" w:hAnsi="Times New Roman" w:cs="Times New Roman"/>
          <w:sz w:val="28"/>
          <w:szCs w:val="28"/>
          <w:lang w:val="uk-UA"/>
        </w:rPr>
        <w:t xml:space="preserve"> Я. А. Теоретико-методичні аспекти інвестиційного механізму підприємства. </w:t>
      </w:r>
      <w:r w:rsidRPr="00CA586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Бізнес </w:t>
      </w:r>
      <w:proofErr w:type="spellStart"/>
      <w:r w:rsidRPr="00CA5864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</w:t>
      </w:r>
      <w:proofErr w:type="spellEnd"/>
      <w:r w:rsidRPr="00CA5864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CA5864">
        <w:rPr>
          <w:rFonts w:ascii="Times New Roman" w:hAnsi="Times New Roman" w:cs="Times New Roman"/>
          <w:sz w:val="28"/>
          <w:szCs w:val="28"/>
          <w:lang w:val="uk-UA"/>
        </w:rPr>
        <w:t xml:space="preserve"> 2023. № 11. С. 161–167.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5864">
        <w:rPr>
          <w:rFonts w:ascii="Times New Roman" w:hAnsi="Times New Roman" w:cs="Times New Roman"/>
          <w:sz w:val="28"/>
          <w:szCs w:val="28"/>
          <w:lang w:val="uk-UA"/>
        </w:rPr>
        <w:t>(дата звернення: 10.09.2024)</w:t>
      </w:r>
    </w:p>
    <w:p w14:paraId="38244331" w14:textId="7366B225" w:rsidR="00E847BE" w:rsidRPr="002A2D52" w:rsidRDefault="002A2D52" w:rsidP="00E847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2D5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Поліщук Н.В., Тарасов А.А. Аналіз взаємозв’язку обсягів капітальних інвестицій в економіці та обсягами ВВП: оцінка тенденцій.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Розвиток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фінансового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ринку в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Україні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загрози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проблеми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перспективи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матеріали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V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Міжнародної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науково-практичної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конференції</w:t>
      </w:r>
      <w:proofErr w:type="spellEnd"/>
      <w:r w:rsidRPr="002A2D52">
        <w:rPr>
          <w:rFonts w:ascii="Times New Roman" w:eastAsia="Times New Roman" w:hAnsi="Times New Roman"/>
          <w:sz w:val="27"/>
          <w:szCs w:val="27"/>
          <w:lang w:eastAsia="ru-RU"/>
        </w:rPr>
        <w:t>, 23 листопада 2023 р. Полтава: НУПП, 2023. С. 45-46.</w:t>
      </w:r>
      <w:r w:rsidRPr="002A2D52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2" w:anchor="page=46" w:history="1">
        <w:r w:rsidRPr="002A2D52">
          <w:rPr>
            <w:rStyle w:val="a4"/>
            <w:rFonts w:ascii="Times New Roman" w:hAnsi="Times New Roman" w:cs="Times New Roman"/>
            <w:sz w:val="28"/>
            <w:szCs w:val="28"/>
          </w:rPr>
          <w:t>https://nupp.edu.ua/uploads/files/0/events/conf/2023/v-mnpk-rfruzpp/materiali-konferencii-23.11.23.pdf#page=46</w:t>
        </w:r>
      </w:hyperlink>
      <w:r w:rsidRPr="002A2D52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2A2D5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2A2D52">
        <w:rPr>
          <w:rFonts w:ascii="Times New Roman" w:hAnsi="Times New Roman" w:cs="Times New Roman"/>
          <w:sz w:val="28"/>
          <w:szCs w:val="28"/>
        </w:rPr>
        <w:t>: 1</w:t>
      </w:r>
      <w:r w:rsidR="00537C6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A2D52">
        <w:rPr>
          <w:rFonts w:ascii="Times New Roman" w:hAnsi="Times New Roman" w:cs="Times New Roman"/>
          <w:sz w:val="28"/>
          <w:szCs w:val="28"/>
        </w:rPr>
        <w:t>.0</w:t>
      </w:r>
      <w:r w:rsidR="00537C6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D52">
        <w:rPr>
          <w:rFonts w:ascii="Times New Roman" w:hAnsi="Times New Roman" w:cs="Times New Roman"/>
          <w:sz w:val="28"/>
          <w:szCs w:val="28"/>
        </w:rPr>
        <w:t>.2024)</w:t>
      </w:r>
    </w:p>
    <w:sectPr w:rsidR="00E847BE" w:rsidRPr="002A2D52" w:rsidSect="000524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2B2"/>
    <w:multiLevelType w:val="hybridMultilevel"/>
    <w:tmpl w:val="BEA2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6672E"/>
    <w:multiLevelType w:val="hybridMultilevel"/>
    <w:tmpl w:val="DBA4CD6E"/>
    <w:lvl w:ilvl="0" w:tplc="68F2A7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6864465">
    <w:abstractNumId w:val="0"/>
  </w:num>
  <w:num w:numId="2" w16cid:durableId="57103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C"/>
    <w:rsid w:val="00000498"/>
    <w:rsid w:val="00052459"/>
    <w:rsid w:val="000532DB"/>
    <w:rsid w:val="00074DF9"/>
    <w:rsid w:val="00086AD6"/>
    <w:rsid w:val="000A4669"/>
    <w:rsid w:val="0010253B"/>
    <w:rsid w:val="001032B5"/>
    <w:rsid w:val="001267D0"/>
    <w:rsid w:val="00127900"/>
    <w:rsid w:val="00177D1E"/>
    <w:rsid w:val="001D4347"/>
    <w:rsid w:val="002019A5"/>
    <w:rsid w:val="00220C7A"/>
    <w:rsid w:val="002A2D52"/>
    <w:rsid w:val="002A6327"/>
    <w:rsid w:val="002C6EB6"/>
    <w:rsid w:val="002D64E0"/>
    <w:rsid w:val="002F062E"/>
    <w:rsid w:val="00307298"/>
    <w:rsid w:val="0032144D"/>
    <w:rsid w:val="00361400"/>
    <w:rsid w:val="0043118F"/>
    <w:rsid w:val="004F6F21"/>
    <w:rsid w:val="0050474E"/>
    <w:rsid w:val="00537C64"/>
    <w:rsid w:val="00555D00"/>
    <w:rsid w:val="005B10F1"/>
    <w:rsid w:val="00606422"/>
    <w:rsid w:val="006307AF"/>
    <w:rsid w:val="006353ED"/>
    <w:rsid w:val="00667949"/>
    <w:rsid w:val="0069489F"/>
    <w:rsid w:val="006C1865"/>
    <w:rsid w:val="006D7762"/>
    <w:rsid w:val="006F442E"/>
    <w:rsid w:val="00704190"/>
    <w:rsid w:val="00741D1A"/>
    <w:rsid w:val="00773D43"/>
    <w:rsid w:val="007C5C5D"/>
    <w:rsid w:val="00802850"/>
    <w:rsid w:val="00816D7A"/>
    <w:rsid w:val="00824F4B"/>
    <w:rsid w:val="008269C4"/>
    <w:rsid w:val="00856F5A"/>
    <w:rsid w:val="008660EC"/>
    <w:rsid w:val="00867C87"/>
    <w:rsid w:val="00874F9C"/>
    <w:rsid w:val="008A396F"/>
    <w:rsid w:val="008E368A"/>
    <w:rsid w:val="008E55EC"/>
    <w:rsid w:val="00903E60"/>
    <w:rsid w:val="0094371D"/>
    <w:rsid w:val="00997B4C"/>
    <w:rsid w:val="009B7B5B"/>
    <w:rsid w:val="009C0E58"/>
    <w:rsid w:val="00A6511C"/>
    <w:rsid w:val="00AC6517"/>
    <w:rsid w:val="00BD0924"/>
    <w:rsid w:val="00BF13F4"/>
    <w:rsid w:val="00BF64CD"/>
    <w:rsid w:val="00C44D5C"/>
    <w:rsid w:val="00C45B3D"/>
    <w:rsid w:val="00C7226D"/>
    <w:rsid w:val="00CA5864"/>
    <w:rsid w:val="00CD2685"/>
    <w:rsid w:val="00D12288"/>
    <w:rsid w:val="00D60550"/>
    <w:rsid w:val="00D846DD"/>
    <w:rsid w:val="00DA56F4"/>
    <w:rsid w:val="00DC1A0E"/>
    <w:rsid w:val="00E475A3"/>
    <w:rsid w:val="00E74F13"/>
    <w:rsid w:val="00E847BE"/>
    <w:rsid w:val="00EC56B7"/>
    <w:rsid w:val="00F06827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B98"/>
  <w15:chartTrackingRefBased/>
  <w15:docId w15:val="{B81BE076-99D8-4B5A-8D42-DF99420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9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nupp.edu.ua/uploads/files/0/events/conf/2023/v-mnpk-rfruzpp/materiali-konferencii-23.11.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ieva.a@donnu.edu.ua" TargetMode="External"/><Relationship Id="rId11" Type="http://schemas.openxmlformats.org/officeDocument/2006/relationships/hyperlink" Target="https://bank.gov.ua/ua/statistic/sector-external" TargetMode="External"/><Relationship Id="rId5" Type="http://schemas.openxmlformats.org/officeDocument/2006/relationships/hyperlink" Target="mailto:n.polishchuk@donnu.edu.ua" TargetMode="External"/><Relationship Id="rId10" Type="http://schemas.openxmlformats.org/officeDocument/2006/relationships/hyperlink" Target="https://index.minfin.com.ua/ua/economy/f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12_KPSN_2010/Economics/62666.doc.ht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Аркуш1!$A$1</c:f>
              <c:strCache>
                <c:ptCount val="1"/>
                <c:pt idx="0">
                  <c:v>Прямі іноземні інвестиції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Аркуш1!$A$2:$L$2</c:f>
              <c:numCache>
                <c:formatCode>General</c:formatCode>
                <c:ptCount val="12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</c:numCache>
            </c:numRef>
          </c:cat>
          <c:val>
            <c:numRef>
              <c:f>Аркуш1!$A$3:$L$3</c:f>
              <c:numCache>
                <c:formatCode>General</c:formatCode>
                <c:ptCount val="12"/>
                <c:pt idx="0">
                  <c:v>4499</c:v>
                </c:pt>
                <c:pt idx="1">
                  <c:v>410</c:v>
                </c:pt>
                <c:pt idx="2">
                  <c:v>-458</c:v>
                </c:pt>
                <c:pt idx="3">
                  <c:v>3810</c:v>
                </c:pt>
                <c:pt idx="4">
                  <c:v>3692</c:v>
                </c:pt>
                <c:pt idx="5">
                  <c:v>4455</c:v>
                </c:pt>
                <c:pt idx="6">
                  <c:v>5860</c:v>
                </c:pt>
                <c:pt idx="7">
                  <c:v>-868</c:v>
                </c:pt>
                <c:pt idx="8">
                  <c:v>6687</c:v>
                </c:pt>
                <c:pt idx="9">
                  <c:v>1152</c:v>
                </c:pt>
                <c:pt idx="10">
                  <c:v>4247</c:v>
                </c:pt>
                <c:pt idx="11">
                  <c:v>1838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F7-46F2-B315-7BDB85EA47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23383231"/>
        <c:axId val="523383647"/>
      </c:barChart>
      <c:catAx>
        <c:axId val="52338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23383647"/>
        <c:crosses val="autoZero"/>
        <c:auto val="0"/>
        <c:lblAlgn val="ctr"/>
        <c:lblOffset val="100"/>
        <c:noMultiLvlLbl val="0"/>
      </c:catAx>
      <c:valAx>
        <c:axId val="523383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5233832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Аркуш2!$A$2:$A$10</c:f>
              <c:strCache>
                <c:ptCount val="9"/>
                <c:pt idx="0">
                  <c:v>Вінницька</c:v>
                </c:pt>
                <c:pt idx="1">
                  <c:v>Житомирська</c:v>
                </c:pt>
                <c:pt idx="2">
                  <c:v>Київська</c:v>
                </c:pt>
                <c:pt idx="3">
                  <c:v>Миколаївська</c:v>
                </c:pt>
                <c:pt idx="4">
                  <c:v>Полтавська</c:v>
                </c:pt>
                <c:pt idx="5">
                  <c:v>Хмельницька</c:v>
                </c:pt>
                <c:pt idx="6">
                  <c:v>Черкаська</c:v>
                </c:pt>
                <c:pt idx="7">
                  <c:v>Чернівецька</c:v>
                </c:pt>
                <c:pt idx="8">
                  <c:v>м. Київ</c:v>
                </c:pt>
              </c:strCache>
            </c:strRef>
          </c:cat>
          <c:val>
            <c:numRef>
              <c:f>Аркуш2!$B$2:$B$10</c:f>
              <c:numCache>
                <c:formatCode>General</c:formatCode>
                <c:ptCount val="9"/>
                <c:pt idx="0">
                  <c:v>21.2</c:v>
                </c:pt>
                <c:pt idx="1">
                  <c:v>-22.2</c:v>
                </c:pt>
                <c:pt idx="2">
                  <c:v>-35.1</c:v>
                </c:pt>
                <c:pt idx="3">
                  <c:v>139.30000000000001</c:v>
                </c:pt>
                <c:pt idx="4">
                  <c:v>154.19999999999999</c:v>
                </c:pt>
                <c:pt idx="5">
                  <c:v>-1.8</c:v>
                </c:pt>
                <c:pt idx="6">
                  <c:v>-62.8</c:v>
                </c:pt>
                <c:pt idx="7">
                  <c:v>0.7</c:v>
                </c:pt>
                <c:pt idx="8">
                  <c:v>142.1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02-4738-B063-FEF1A0A056C8}"/>
            </c:ext>
          </c:extLst>
        </c:ser>
        <c:ser>
          <c:idx val="1"/>
          <c:order val="1"/>
          <c:tx>
            <c:strRef>
              <c:f>Аркуш2!$C$1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Аркуш2!$A$2:$A$10</c:f>
              <c:strCache>
                <c:ptCount val="9"/>
                <c:pt idx="0">
                  <c:v>Вінницька</c:v>
                </c:pt>
                <c:pt idx="1">
                  <c:v>Житомирська</c:v>
                </c:pt>
                <c:pt idx="2">
                  <c:v>Київська</c:v>
                </c:pt>
                <c:pt idx="3">
                  <c:v>Миколаївська</c:v>
                </c:pt>
                <c:pt idx="4">
                  <c:v>Полтавська</c:v>
                </c:pt>
                <c:pt idx="5">
                  <c:v>Хмельницька</c:v>
                </c:pt>
                <c:pt idx="6">
                  <c:v>Черкаська</c:v>
                </c:pt>
                <c:pt idx="7">
                  <c:v>Чернівецька</c:v>
                </c:pt>
                <c:pt idx="8">
                  <c:v>м. Київ</c:v>
                </c:pt>
              </c:strCache>
            </c:strRef>
          </c:cat>
          <c:val>
            <c:numRef>
              <c:f>Аркуш2!$C$2:$C$10</c:f>
              <c:numCache>
                <c:formatCode>General</c:formatCode>
                <c:ptCount val="9"/>
                <c:pt idx="0">
                  <c:v>47.3</c:v>
                </c:pt>
                <c:pt idx="1">
                  <c:v>12.4</c:v>
                </c:pt>
                <c:pt idx="2">
                  <c:v>-11.1</c:v>
                </c:pt>
                <c:pt idx="3">
                  <c:v>-8.8000000000000007</c:v>
                </c:pt>
                <c:pt idx="4">
                  <c:v>213</c:v>
                </c:pt>
                <c:pt idx="5">
                  <c:v>-17.8</c:v>
                </c:pt>
                <c:pt idx="6">
                  <c:v>-4.0999999999999996</c:v>
                </c:pt>
                <c:pt idx="7">
                  <c:v>3.5</c:v>
                </c:pt>
                <c:pt idx="8">
                  <c:v>98.6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02-4738-B063-FEF1A0A056C8}"/>
            </c:ext>
          </c:extLst>
        </c:ser>
        <c:ser>
          <c:idx val="2"/>
          <c:order val="2"/>
          <c:tx>
            <c:strRef>
              <c:f>Аркуш2!$D$1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Аркуш2!$A$2:$A$10</c:f>
              <c:strCache>
                <c:ptCount val="9"/>
                <c:pt idx="0">
                  <c:v>Вінницька</c:v>
                </c:pt>
                <c:pt idx="1">
                  <c:v>Житомирська</c:v>
                </c:pt>
                <c:pt idx="2">
                  <c:v>Київська</c:v>
                </c:pt>
                <c:pt idx="3">
                  <c:v>Миколаївська</c:v>
                </c:pt>
                <c:pt idx="4">
                  <c:v>Полтавська</c:v>
                </c:pt>
                <c:pt idx="5">
                  <c:v>Хмельницька</c:v>
                </c:pt>
                <c:pt idx="6">
                  <c:v>Черкаська</c:v>
                </c:pt>
                <c:pt idx="7">
                  <c:v>Чернівецька</c:v>
                </c:pt>
                <c:pt idx="8">
                  <c:v>м. Київ</c:v>
                </c:pt>
              </c:strCache>
            </c:strRef>
          </c:cat>
          <c:val>
            <c:numRef>
              <c:f>Аркуш2!$D$2:$D$10</c:f>
              <c:numCache>
                <c:formatCode>General</c:formatCode>
                <c:ptCount val="9"/>
                <c:pt idx="0">
                  <c:v>26</c:v>
                </c:pt>
                <c:pt idx="1">
                  <c:v>-1.3</c:v>
                </c:pt>
                <c:pt idx="2">
                  <c:v>53.8</c:v>
                </c:pt>
                <c:pt idx="3">
                  <c:v>-6.3</c:v>
                </c:pt>
                <c:pt idx="4">
                  <c:v>-9</c:v>
                </c:pt>
                <c:pt idx="5">
                  <c:v>3.9</c:v>
                </c:pt>
                <c:pt idx="6">
                  <c:v>7.9</c:v>
                </c:pt>
                <c:pt idx="7">
                  <c:v>0.2</c:v>
                </c:pt>
                <c:pt idx="8">
                  <c:v>994.5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02-4738-B063-FEF1A0A05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6865999"/>
        <c:axId val="676864335"/>
      </c:barChart>
      <c:catAx>
        <c:axId val="67686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6864335"/>
        <c:crosses val="autoZero"/>
        <c:auto val="1"/>
        <c:lblAlgn val="ctr"/>
        <c:lblOffset val="100"/>
        <c:noMultiLvlLbl val="0"/>
      </c:catAx>
      <c:valAx>
        <c:axId val="676864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7686599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Ніколаєва Анастасія Павлівна</dc:creator>
  <cp:keywords/>
  <dc:description/>
  <cp:lastModifiedBy>Поліщук Наталія Володимирівна</cp:lastModifiedBy>
  <cp:revision>24</cp:revision>
  <dcterms:created xsi:type="dcterms:W3CDTF">2024-09-15T16:44:00Z</dcterms:created>
  <dcterms:modified xsi:type="dcterms:W3CDTF">2024-09-17T12:58:00Z</dcterms:modified>
</cp:coreProperties>
</file>