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3D84" w14:textId="2AF9E0D1" w:rsidR="000D38E1" w:rsidRPr="000D38E1" w:rsidRDefault="003A5F62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ОСОБЛИВОСТІ ІНВЕСТУВАННЯ</w:t>
      </w:r>
      <w:r w:rsidR="000D38E1" w:rsidRPr="000D38E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 відновлювану енергетику</w:t>
      </w:r>
    </w:p>
    <w:p w14:paraId="063FAC33" w14:textId="77777777" w:rsidR="003A5F62" w:rsidRDefault="000E2682" w:rsidP="000E26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2D3">
        <w:rPr>
          <w:rFonts w:ascii="Times New Roman" w:hAnsi="Times New Roman" w:cs="Times New Roman"/>
          <w:b/>
          <w:sz w:val="28"/>
          <w:szCs w:val="28"/>
        </w:rPr>
        <w:t>Григор’єв П.К.</w:t>
      </w:r>
    </w:p>
    <w:p w14:paraId="146E2237" w14:textId="19416D77" w:rsidR="00425C99" w:rsidRPr="00425C99" w:rsidRDefault="00425C99" w:rsidP="000E268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C99">
        <w:rPr>
          <w:rFonts w:ascii="Times New Roman" w:hAnsi="Times New Roman" w:cs="Times New Roman"/>
          <w:sz w:val="28"/>
          <w:szCs w:val="28"/>
        </w:rPr>
        <w:t xml:space="preserve">Науковий керівник: </w:t>
      </w:r>
      <w:proofErr w:type="spellStart"/>
      <w:r w:rsidRPr="00425C99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425C99">
        <w:rPr>
          <w:rFonts w:ascii="Times New Roman" w:hAnsi="Times New Roman" w:cs="Times New Roman"/>
          <w:sz w:val="28"/>
          <w:szCs w:val="28"/>
        </w:rPr>
        <w:t xml:space="preserve">., доц. </w:t>
      </w:r>
      <w:proofErr w:type="spellStart"/>
      <w:r w:rsidRPr="00425C99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425C99">
        <w:rPr>
          <w:rFonts w:ascii="Times New Roman" w:hAnsi="Times New Roman" w:cs="Times New Roman"/>
          <w:sz w:val="28"/>
          <w:szCs w:val="28"/>
        </w:rPr>
        <w:t xml:space="preserve"> З.А.</w:t>
      </w:r>
    </w:p>
    <w:p w14:paraId="0A93B512" w14:textId="562FFDE3" w:rsidR="000E2682" w:rsidRPr="005158BB" w:rsidRDefault="000E2682" w:rsidP="000E2682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52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Донецький національний університет імені Василя Стуса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, м. Вінниця, Україна</w:t>
      </w:r>
    </w:p>
    <w:p w14:paraId="100D9D36" w14:textId="1297882E" w:rsidR="00CC1709" w:rsidRPr="00A95903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6E714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6E714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E7141" w:rsidRPr="00A95903">
        <w:rPr>
          <w:rFonts w:ascii="Times New Roman" w:hAnsi="Times New Roman" w:cs="Times New Roman"/>
          <w:sz w:val="28"/>
          <w:szCs w:val="28"/>
        </w:rPr>
        <w:t xml:space="preserve">: </w:t>
      </w:r>
      <w:r w:rsidR="006E7141" w:rsidRPr="00A9590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p.hryhoriev@donnu.edu.ua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FB397CE" w14:textId="2C3695CC" w:rsidR="000D38E1" w:rsidRPr="00D12644" w:rsidRDefault="000D38E1" w:rsidP="003A5F6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Вступ. </w:t>
      </w:r>
      <w:r w:rsidRPr="000D38E1">
        <w:rPr>
          <w:rFonts w:ascii="Times New Roman" w:hAnsi="Times New Roman"/>
          <w:sz w:val="28"/>
        </w:rPr>
        <w:t>Роль інвес</w:t>
      </w:r>
      <w:bookmarkStart w:id="0" w:name="_GoBack"/>
      <w:bookmarkEnd w:id="0"/>
      <w:r w:rsidRPr="000D38E1">
        <w:rPr>
          <w:rFonts w:ascii="Times New Roman" w:hAnsi="Times New Roman"/>
          <w:sz w:val="28"/>
        </w:rPr>
        <w:t xml:space="preserve">тицій в економіці традиційно пов'язують із необхідністю забезпечення економічного розвитку та зростання держав світу. </w:t>
      </w:r>
      <w:r w:rsidR="00787612" w:rsidRPr="008B241C">
        <w:rPr>
          <w:rFonts w:ascii="Times New Roman" w:hAnsi="Times New Roman"/>
          <w:sz w:val="28"/>
        </w:rPr>
        <w:t>Енергетична галузь є однією з основних складових економіки. Будь-яка економічна галузь має розвиватис</w:t>
      </w:r>
      <w:r w:rsidR="00787612">
        <w:rPr>
          <w:rFonts w:ascii="Times New Roman" w:hAnsi="Times New Roman"/>
          <w:sz w:val="28"/>
        </w:rPr>
        <w:t>ь, що потребує</w:t>
      </w:r>
      <w:r w:rsidR="00787612" w:rsidRPr="008B241C">
        <w:rPr>
          <w:rFonts w:ascii="Times New Roman" w:hAnsi="Times New Roman"/>
          <w:sz w:val="28"/>
        </w:rPr>
        <w:t xml:space="preserve"> </w:t>
      </w:r>
      <w:r w:rsidR="00787612">
        <w:rPr>
          <w:rFonts w:ascii="Times New Roman" w:hAnsi="Times New Roman"/>
          <w:sz w:val="28"/>
        </w:rPr>
        <w:t>надходження</w:t>
      </w:r>
      <w:r w:rsidR="00D12644">
        <w:rPr>
          <w:rFonts w:ascii="Times New Roman" w:hAnsi="Times New Roman"/>
          <w:sz w:val="28"/>
        </w:rPr>
        <w:t xml:space="preserve"> капіталу. З огляду на це, </w:t>
      </w:r>
      <w:r w:rsidR="00787612" w:rsidRPr="008B241C">
        <w:rPr>
          <w:rFonts w:ascii="Times New Roman" w:hAnsi="Times New Roman"/>
          <w:sz w:val="28"/>
        </w:rPr>
        <w:t>інвестиції в енергетику будь-якої країни є на</w:t>
      </w:r>
      <w:r w:rsidR="00787612">
        <w:rPr>
          <w:rFonts w:ascii="Times New Roman" w:hAnsi="Times New Roman"/>
          <w:sz w:val="28"/>
        </w:rPr>
        <w:t>сущною</w:t>
      </w:r>
      <w:r w:rsidR="00D12644">
        <w:rPr>
          <w:rFonts w:ascii="Times New Roman" w:hAnsi="Times New Roman"/>
          <w:sz w:val="28"/>
        </w:rPr>
        <w:t xml:space="preserve"> потребою, що підкреслює актуальність обраної теми.</w:t>
      </w:r>
      <w:r w:rsidR="00787612" w:rsidRPr="008B241C">
        <w:rPr>
          <w:rFonts w:ascii="Times New Roman" w:hAnsi="Times New Roman"/>
          <w:sz w:val="28"/>
        </w:rPr>
        <w:t xml:space="preserve"> </w:t>
      </w:r>
    </w:p>
    <w:p w14:paraId="1EB7D8DD" w14:textId="3F6DDF35" w:rsidR="000D38E1" w:rsidRDefault="003A5F62" w:rsidP="003A5F62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Мета публікації</w:t>
      </w:r>
      <w:r w:rsidR="000D38E1" w:rsidRPr="00FD32D3">
        <w:rPr>
          <w:rFonts w:ascii="Times New Roman" w:hAnsi="Times New Roman"/>
          <w:b/>
          <w:sz w:val="28"/>
        </w:rPr>
        <w:t xml:space="preserve"> –</w:t>
      </w:r>
      <w:r w:rsidR="000D38E1" w:rsidRPr="000D38E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дослідити особливості державної політики</w:t>
      </w:r>
      <w:r w:rsidR="000D38E1" w:rsidRPr="000D38E1">
        <w:rPr>
          <w:rFonts w:ascii="Times New Roman" w:hAnsi="Times New Roman"/>
          <w:sz w:val="28"/>
        </w:rPr>
        <w:t xml:space="preserve"> зарубіжних країн, спрямованої на стимулювання інвестицій у зростання </w:t>
      </w:r>
      <w:r w:rsidR="00842CB6">
        <w:rPr>
          <w:rFonts w:ascii="Times New Roman" w:hAnsi="Times New Roman"/>
          <w:sz w:val="28"/>
        </w:rPr>
        <w:t xml:space="preserve">та відновлення </w:t>
      </w:r>
      <w:r w:rsidR="000D38E1" w:rsidRPr="000D38E1">
        <w:rPr>
          <w:rFonts w:ascii="Times New Roman" w:hAnsi="Times New Roman"/>
          <w:sz w:val="28"/>
        </w:rPr>
        <w:t>частки відновлюваної енергетики у виробництві енергії.</w:t>
      </w:r>
    </w:p>
    <w:p w14:paraId="028D9ED5" w14:textId="5BECD79C" w:rsidR="000D38E1" w:rsidRPr="00B97DE1" w:rsidRDefault="000D38E1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FD32D3">
        <w:rPr>
          <w:rFonts w:ascii="Times New Roman" w:hAnsi="Times New Roman"/>
          <w:b/>
          <w:sz w:val="28"/>
        </w:rPr>
        <w:t>Основна частина.</w:t>
      </w:r>
      <w:r w:rsidR="008B241C">
        <w:rPr>
          <w:rFonts w:ascii="Times New Roman" w:hAnsi="Times New Roman"/>
          <w:b/>
          <w:sz w:val="28"/>
        </w:rPr>
        <w:t xml:space="preserve"> </w:t>
      </w:r>
      <w:r w:rsidR="008B241C" w:rsidRPr="008B241C">
        <w:rPr>
          <w:rFonts w:ascii="Times New Roman" w:hAnsi="Times New Roman"/>
          <w:sz w:val="28"/>
        </w:rPr>
        <w:t xml:space="preserve">Високі темпи розвитку відновлюваних джерел енергії у світі багато в чому зумовлені розвиненою системою стимулювання виробників, і, насамперед, субсидуванням цієї галузі. Енергетичний бізнес </w:t>
      </w:r>
      <w:r w:rsidR="008B241C">
        <w:rPr>
          <w:rFonts w:ascii="Times New Roman" w:hAnsi="Times New Roman"/>
          <w:sz w:val="28"/>
        </w:rPr>
        <w:t>дуже</w:t>
      </w:r>
      <w:r w:rsidR="008B241C" w:rsidRPr="008B241C">
        <w:rPr>
          <w:rFonts w:ascii="Times New Roman" w:hAnsi="Times New Roman"/>
          <w:sz w:val="28"/>
        </w:rPr>
        <w:t xml:space="preserve"> престижний для інвесторів, водночас характеризується високою складністю, </w:t>
      </w:r>
      <w:r w:rsidR="008B241C" w:rsidRPr="00B97DE1">
        <w:rPr>
          <w:rFonts w:ascii="Times New Roman" w:hAnsi="Times New Roman"/>
          <w:sz w:val="28"/>
        </w:rPr>
        <w:t>значними ризиками, тривалим періодом окупно</w:t>
      </w:r>
      <w:r w:rsidR="003A5F62" w:rsidRPr="00B97DE1">
        <w:rPr>
          <w:rFonts w:ascii="Times New Roman" w:hAnsi="Times New Roman"/>
          <w:sz w:val="28"/>
        </w:rPr>
        <w:t>сті масштабних енергетичних проєктів</w:t>
      </w:r>
      <w:r w:rsidR="008B241C" w:rsidRPr="00B97DE1">
        <w:rPr>
          <w:rFonts w:ascii="Times New Roman" w:hAnsi="Times New Roman"/>
          <w:sz w:val="28"/>
        </w:rPr>
        <w:t xml:space="preserve"> </w:t>
      </w:r>
      <w:r w:rsidR="003A5F62" w:rsidRPr="00B97DE1">
        <w:rPr>
          <w:rFonts w:ascii="Times New Roman" w:hAnsi="Times New Roman"/>
          <w:sz w:val="28"/>
        </w:rPr>
        <w:t>[1;</w:t>
      </w:r>
      <w:r w:rsidR="008B241C" w:rsidRPr="00B97DE1">
        <w:rPr>
          <w:rFonts w:ascii="Times New Roman" w:hAnsi="Times New Roman"/>
          <w:sz w:val="28"/>
        </w:rPr>
        <w:t xml:space="preserve"> 2]</w:t>
      </w:r>
      <w:r w:rsidR="00F21786" w:rsidRPr="00B97DE1">
        <w:rPr>
          <w:rFonts w:ascii="Times New Roman" w:hAnsi="Times New Roman"/>
          <w:sz w:val="28"/>
        </w:rPr>
        <w:t>.</w:t>
      </w:r>
    </w:p>
    <w:p w14:paraId="0E12F918" w14:textId="43F327D9" w:rsidR="000D38E1" w:rsidRPr="00B97DE1" w:rsidRDefault="00F21786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B97DE1">
        <w:rPr>
          <w:rFonts w:ascii="Times New Roman" w:hAnsi="Times New Roman"/>
          <w:sz w:val="28"/>
        </w:rPr>
        <w:t>У 2018 році більша частина інвестицій у відновлювану енергетику припа</w:t>
      </w:r>
      <w:r w:rsidR="003A5F62" w:rsidRPr="00B97DE1">
        <w:rPr>
          <w:rFonts w:ascii="Times New Roman" w:hAnsi="Times New Roman"/>
          <w:sz w:val="28"/>
        </w:rPr>
        <w:t>да</w:t>
      </w:r>
      <w:r w:rsidRPr="00B97DE1">
        <w:rPr>
          <w:rFonts w:ascii="Times New Roman" w:hAnsi="Times New Roman"/>
          <w:sz w:val="28"/>
        </w:rPr>
        <w:t xml:space="preserve">ла на сонячну і прибережну вітряну генерацію. У цю галузь було залучено 25,7 млрд </w:t>
      </w:r>
      <w:proofErr w:type="spellStart"/>
      <w:r w:rsidRPr="00B97DE1">
        <w:rPr>
          <w:rFonts w:ascii="Times New Roman" w:hAnsi="Times New Roman"/>
          <w:sz w:val="28"/>
        </w:rPr>
        <w:t>дол</w:t>
      </w:r>
      <w:proofErr w:type="spellEnd"/>
      <w:r w:rsidR="00787612" w:rsidRPr="00B97DE1">
        <w:rPr>
          <w:rFonts w:ascii="Times New Roman" w:hAnsi="Times New Roman"/>
          <w:sz w:val="28"/>
        </w:rPr>
        <w:t>. США</w:t>
      </w:r>
      <w:r w:rsidRPr="00B97DE1">
        <w:rPr>
          <w:rFonts w:ascii="Times New Roman" w:hAnsi="Times New Roman"/>
          <w:sz w:val="28"/>
        </w:rPr>
        <w:t>, 14</w:t>
      </w:r>
      <w:r w:rsidR="00787612" w:rsidRPr="00B97DE1">
        <w:rPr>
          <w:rFonts w:ascii="Times New Roman" w:hAnsi="Times New Roman"/>
          <w:sz w:val="28"/>
        </w:rPr>
        <w:t xml:space="preserve"> </w:t>
      </w:r>
      <w:r w:rsidRPr="00B97DE1">
        <w:rPr>
          <w:rFonts w:ascii="Times New Roman" w:hAnsi="Times New Roman"/>
          <w:sz w:val="28"/>
        </w:rPr>
        <w:t>% зростання порівняно з минулим роком.</w:t>
      </w:r>
      <w:r w:rsidR="00787612" w:rsidRPr="00B97DE1">
        <w:rPr>
          <w:rFonts w:ascii="Times New Roman" w:hAnsi="Times New Roman"/>
          <w:sz w:val="28"/>
        </w:rPr>
        <w:t xml:space="preserve"> Частина проєктів знаходиться</w:t>
      </w:r>
      <w:r w:rsidRPr="00B97DE1">
        <w:rPr>
          <w:rFonts w:ascii="Times New Roman" w:hAnsi="Times New Roman"/>
          <w:sz w:val="28"/>
        </w:rPr>
        <w:t xml:space="preserve"> в Європі, а також 13 офшорних вітряних проєктів</w:t>
      </w:r>
      <w:r w:rsidR="00787612" w:rsidRPr="00B97DE1">
        <w:rPr>
          <w:rFonts w:ascii="Times New Roman" w:hAnsi="Times New Roman"/>
          <w:sz w:val="28"/>
        </w:rPr>
        <w:t xml:space="preserve"> зосереджені</w:t>
      </w:r>
      <w:r w:rsidRPr="00B97DE1">
        <w:rPr>
          <w:rFonts w:ascii="Times New Roman" w:hAnsi="Times New Roman"/>
          <w:sz w:val="28"/>
        </w:rPr>
        <w:t xml:space="preserve"> у Китаї. Інвестиції в наземну вітряну енергетику склали 100,8 млрд </w:t>
      </w:r>
      <w:proofErr w:type="spellStart"/>
      <w:r w:rsidRPr="00B97DE1">
        <w:rPr>
          <w:rFonts w:ascii="Times New Roman" w:hAnsi="Times New Roman"/>
          <w:sz w:val="28"/>
        </w:rPr>
        <w:t>дол</w:t>
      </w:r>
      <w:proofErr w:type="spellEnd"/>
      <w:r w:rsidR="00787612" w:rsidRPr="00B97DE1">
        <w:rPr>
          <w:rFonts w:ascii="Times New Roman" w:hAnsi="Times New Roman"/>
          <w:sz w:val="28"/>
        </w:rPr>
        <w:t>. США</w:t>
      </w:r>
      <w:r w:rsidRPr="00B97DE1">
        <w:rPr>
          <w:rFonts w:ascii="Times New Roman" w:hAnsi="Times New Roman"/>
          <w:sz w:val="28"/>
        </w:rPr>
        <w:t xml:space="preserve">, показавши зростання на 2%. Найбільшими </w:t>
      </w:r>
      <w:proofErr w:type="spellStart"/>
      <w:r w:rsidRPr="00B97DE1">
        <w:rPr>
          <w:rFonts w:ascii="Times New Roman" w:hAnsi="Times New Roman"/>
          <w:sz w:val="28"/>
        </w:rPr>
        <w:t>проєктами</w:t>
      </w:r>
      <w:proofErr w:type="spellEnd"/>
      <w:r w:rsidRPr="00B97DE1">
        <w:rPr>
          <w:rFonts w:ascii="Times New Roman" w:hAnsi="Times New Roman"/>
          <w:sz w:val="28"/>
        </w:rPr>
        <w:t xml:space="preserve"> були портфель </w:t>
      </w:r>
      <w:proofErr w:type="spellStart"/>
      <w:r w:rsidRPr="00B97DE1">
        <w:rPr>
          <w:rFonts w:ascii="Times New Roman" w:hAnsi="Times New Roman"/>
          <w:sz w:val="28"/>
        </w:rPr>
        <w:t>проєктів</w:t>
      </w:r>
      <w:proofErr w:type="spellEnd"/>
      <w:r w:rsidRPr="00B97DE1">
        <w:rPr>
          <w:rFonts w:ascii="Times New Roman" w:hAnsi="Times New Roman"/>
          <w:sz w:val="28"/>
        </w:rPr>
        <w:t xml:space="preserve"> </w:t>
      </w:r>
      <w:proofErr w:type="spellStart"/>
      <w:r w:rsidRPr="00B97DE1">
        <w:rPr>
          <w:rFonts w:ascii="Times New Roman" w:hAnsi="Times New Roman"/>
          <w:sz w:val="28"/>
        </w:rPr>
        <w:t>Enel</w:t>
      </w:r>
      <w:proofErr w:type="spellEnd"/>
      <w:r w:rsidRPr="00B97DE1">
        <w:rPr>
          <w:rFonts w:ascii="Times New Roman" w:hAnsi="Times New Roman"/>
          <w:sz w:val="28"/>
        </w:rPr>
        <w:t xml:space="preserve"> </w:t>
      </w:r>
      <w:proofErr w:type="spellStart"/>
      <w:r w:rsidRPr="00B97DE1">
        <w:rPr>
          <w:rFonts w:ascii="Times New Roman" w:hAnsi="Times New Roman"/>
          <w:sz w:val="28"/>
        </w:rPr>
        <w:t>Green</w:t>
      </w:r>
      <w:proofErr w:type="spellEnd"/>
      <w:r w:rsidRPr="00B97DE1">
        <w:rPr>
          <w:rFonts w:ascii="Times New Roman" w:hAnsi="Times New Roman"/>
          <w:sz w:val="28"/>
        </w:rPr>
        <w:t xml:space="preserve"> </w:t>
      </w:r>
      <w:proofErr w:type="spellStart"/>
      <w:r w:rsidRPr="00B97DE1">
        <w:rPr>
          <w:rFonts w:ascii="Times New Roman" w:hAnsi="Times New Roman"/>
          <w:sz w:val="28"/>
        </w:rPr>
        <w:t>Power</w:t>
      </w:r>
      <w:proofErr w:type="spellEnd"/>
      <w:r w:rsidRPr="00B97DE1">
        <w:rPr>
          <w:rFonts w:ascii="Times New Roman" w:hAnsi="Times New Roman"/>
          <w:sz w:val="28"/>
        </w:rPr>
        <w:t xml:space="preserve"> у ПАР вартістю 1,4 млрд </w:t>
      </w:r>
      <w:proofErr w:type="spellStart"/>
      <w:r w:rsidRPr="00B97DE1">
        <w:rPr>
          <w:rFonts w:ascii="Times New Roman" w:hAnsi="Times New Roman"/>
          <w:sz w:val="28"/>
        </w:rPr>
        <w:t>дол</w:t>
      </w:r>
      <w:proofErr w:type="spellEnd"/>
      <w:r w:rsidR="00787612" w:rsidRPr="00B97DE1">
        <w:rPr>
          <w:rFonts w:ascii="Times New Roman" w:hAnsi="Times New Roman"/>
          <w:sz w:val="28"/>
        </w:rPr>
        <w:t>. США</w:t>
      </w:r>
      <w:r w:rsidRPr="00B97DE1">
        <w:rPr>
          <w:rFonts w:ascii="Times New Roman" w:hAnsi="Times New Roman"/>
          <w:sz w:val="28"/>
        </w:rPr>
        <w:t xml:space="preserve">, а також електростанція </w:t>
      </w:r>
      <w:proofErr w:type="spellStart"/>
      <w:r w:rsidRPr="00B97DE1">
        <w:rPr>
          <w:rFonts w:ascii="Times New Roman" w:hAnsi="Times New Roman"/>
          <w:sz w:val="28"/>
        </w:rPr>
        <w:t>Xcel</w:t>
      </w:r>
      <w:proofErr w:type="spellEnd"/>
      <w:r w:rsidRPr="00B97DE1">
        <w:rPr>
          <w:rFonts w:ascii="Times New Roman" w:hAnsi="Times New Roman"/>
          <w:sz w:val="28"/>
        </w:rPr>
        <w:t xml:space="preserve"> </w:t>
      </w:r>
      <w:proofErr w:type="spellStart"/>
      <w:r w:rsidRPr="00B97DE1">
        <w:rPr>
          <w:rFonts w:ascii="Times New Roman" w:hAnsi="Times New Roman"/>
          <w:sz w:val="28"/>
        </w:rPr>
        <w:t>Rush</w:t>
      </w:r>
      <w:proofErr w:type="spellEnd"/>
      <w:r w:rsidRPr="00B97DE1">
        <w:rPr>
          <w:rFonts w:ascii="Times New Roman" w:hAnsi="Times New Roman"/>
          <w:sz w:val="28"/>
        </w:rPr>
        <w:t xml:space="preserve"> </w:t>
      </w:r>
      <w:proofErr w:type="spellStart"/>
      <w:r w:rsidRPr="00B97DE1">
        <w:rPr>
          <w:rFonts w:ascii="Times New Roman" w:hAnsi="Times New Roman"/>
          <w:sz w:val="28"/>
        </w:rPr>
        <w:t>Creek</w:t>
      </w:r>
      <w:proofErr w:type="spellEnd"/>
      <w:r w:rsidRPr="00B97DE1">
        <w:rPr>
          <w:rFonts w:ascii="Times New Roman" w:hAnsi="Times New Roman"/>
          <w:sz w:val="28"/>
        </w:rPr>
        <w:t xml:space="preserve"> у США вартістю 1 млрд </w:t>
      </w:r>
      <w:proofErr w:type="spellStart"/>
      <w:r w:rsidRPr="00B97DE1">
        <w:rPr>
          <w:rFonts w:ascii="Times New Roman" w:hAnsi="Times New Roman"/>
          <w:sz w:val="28"/>
        </w:rPr>
        <w:t>дол</w:t>
      </w:r>
      <w:proofErr w:type="spellEnd"/>
      <w:r w:rsidRPr="00B97DE1">
        <w:rPr>
          <w:rFonts w:ascii="Times New Roman" w:hAnsi="Times New Roman"/>
          <w:sz w:val="28"/>
        </w:rPr>
        <w:t>.</w:t>
      </w:r>
      <w:r w:rsidR="00A95903">
        <w:rPr>
          <w:rFonts w:ascii="Times New Roman" w:hAnsi="Times New Roman"/>
          <w:sz w:val="28"/>
        </w:rPr>
        <w:t xml:space="preserve"> США.</w:t>
      </w:r>
    </w:p>
    <w:p w14:paraId="4249BE21" w14:textId="2B30F85A" w:rsidR="00F21786" w:rsidRPr="00B97DE1" w:rsidRDefault="00F21786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B97DE1">
        <w:rPr>
          <w:rFonts w:ascii="Times New Roman" w:hAnsi="Times New Roman"/>
          <w:sz w:val="28"/>
        </w:rPr>
        <w:t xml:space="preserve">У розвинених країнах дискусії про економічну доцільність інвестицій у поновлювану енергетику стають однією з </w:t>
      </w:r>
      <w:r w:rsidR="00787612" w:rsidRPr="00B97DE1">
        <w:rPr>
          <w:rFonts w:ascii="Times New Roman" w:hAnsi="Times New Roman"/>
          <w:sz w:val="28"/>
        </w:rPr>
        <w:t>основних тем політичних дебатів.  Р</w:t>
      </w:r>
      <w:r w:rsidRPr="00B97DE1">
        <w:rPr>
          <w:rFonts w:ascii="Times New Roman" w:hAnsi="Times New Roman"/>
          <w:sz w:val="28"/>
        </w:rPr>
        <w:t xml:space="preserve">инки, що розвиваються, мають дедалі привабливіший вигляд в </w:t>
      </w:r>
      <w:r w:rsidR="00A95903">
        <w:rPr>
          <w:rFonts w:ascii="Times New Roman" w:hAnsi="Times New Roman"/>
          <w:sz w:val="28"/>
        </w:rPr>
        <w:t xml:space="preserve"> </w:t>
      </w:r>
      <w:r w:rsidRPr="00B97DE1">
        <w:rPr>
          <w:rFonts w:ascii="Times New Roman" w:hAnsi="Times New Roman"/>
          <w:sz w:val="28"/>
        </w:rPr>
        <w:t>очах інвесторів, які прагнуть пошуку більш передбачуваних умов для ведення свого бізнесу.</w:t>
      </w:r>
    </w:p>
    <w:p w14:paraId="2723D212" w14:textId="24915651" w:rsidR="002604D7" w:rsidRDefault="002604D7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B97DE1">
        <w:rPr>
          <w:rFonts w:ascii="Times New Roman" w:hAnsi="Times New Roman"/>
          <w:sz w:val="28"/>
        </w:rPr>
        <w:t>У США, Великій Британії, Німеччині, Австралії та Польщі політика, що проводиться, призводить до перенесення інвестицій на пізніші терміни, відмови від реалізації проєктів і відходу з ринків. Інвестиції США зросли на 12</w:t>
      </w:r>
      <w:r w:rsidR="00787612" w:rsidRPr="00B97DE1">
        <w:rPr>
          <w:rFonts w:ascii="Times New Roman" w:hAnsi="Times New Roman"/>
          <w:sz w:val="28"/>
        </w:rPr>
        <w:t xml:space="preserve"> % і становили 64,2 млрд </w:t>
      </w:r>
      <w:proofErr w:type="spellStart"/>
      <w:r w:rsidR="00787612" w:rsidRPr="00B97DE1">
        <w:rPr>
          <w:rFonts w:ascii="Times New Roman" w:hAnsi="Times New Roman"/>
          <w:sz w:val="28"/>
        </w:rPr>
        <w:t>дол</w:t>
      </w:r>
      <w:proofErr w:type="spellEnd"/>
      <w:r w:rsidR="00787612" w:rsidRPr="00B97DE1">
        <w:rPr>
          <w:rFonts w:ascii="Times New Roman" w:hAnsi="Times New Roman"/>
          <w:sz w:val="28"/>
        </w:rPr>
        <w:t>.</w:t>
      </w:r>
      <w:r w:rsidRPr="00B97DE1">
        <w:rPr>
          <w:rFonts w:ascii="Times New Roman" w:hAnsi="Times New Roman"/>
          <w:sz w:val="28"/>
        </w:rPr>
        <w:t xml:space="preserve"> У Європі інвестиції в чисту енергетику зросли на </w:t>
      </w:r>
      <w:r w:rsidR="00787612" w:rsidRPr="00B97DE1">
        <w:rPr>
          <w:rFonts w:ascii="Times New Roman" w:hAnsi="Times New Roman"/>
          <w:sz w:val="28"/>
        </w:rPr>
        <w:t xml:space="preserve">     </w:t>
      </w:r>
      <w:r w:rsidRPr="00B97DE1">
        <w:rPr>
          <w:rFonts w:ascii="Times New Roman" w:hAnsi="Times New Roman"/>
          <w:sz w:val="28"/>
        </w:rPr>
        <w:lastRenderedPageBreak/>
        <w:t>27</w:t>
      </w:r>
      <w:r w:rsidR="00787612" w:rsidRPr="00B97DE1">
        <w:rPr>
          <w:rFonts w:ascii="Times New Roman" w:hAnsi="Times New Roman"/>
          <w:sz w:val="28"/>
        </w:rPr>
        <w:t xml:space="preserve"> </w:t>
      </w:r>
      <w:r w:rsidRPr="00B97DE1">
        <w:rPr>
          <w:rFonts w:ascii="Times New Roman" w:hAnsi="Times New Roman"/>
          <w:sz w:val="28"/>
        </w:rPr>
        <w:t xml:space="preserve">% до 74,5 млрд </w:t>
      </w:r>
      <w:proofErr w:type="spellStart"/>
      <w:r w:rsidRPr="00B97DE1">
        <w:rPr>
          <w:rFonts w:ascii="Times New Roman" w:hAnsi="Times New Roman"/>
          <w:sz w:val="28"/>
        </w:rPr>
        <w:t>дол</w:t>
      </w:r>
      <w:proofErr w:type="spellEnd"/>
      <w:r w:rsidRPr="00B97DE1">
        <w:rPr>
          <w:rFonts w:ascii="Times New Roman" w:hAnsi="Times New Roman"/>
          <w:sz w:val="28"/>
        </w:rPr>
        <w:t>.</w:t>
      </w:r>
      <w:r w:rsidR="00787612" w:rsidRPr="00B97DE1">
        <w:rPr>
          <w:rFonts w:ascii="Times New Roman" w:hAnsi="Times New Roman"/>
          <w:sz w:val="28"/>
        </w:rPr>
        <w:t xml:space="preserve"> США.</w:t>
      </w:r>
      <w:r w:rsidRPr="00B97DE1">
        <w:rPr>
          <w:rFonts w:ascii="Times New Roman" w:hAnsi="Times New Roman"/>
          <w:sz w:val="28"/>
        </w:rPr>
        <w:t xml:space="preserve"> Інвестиції у ВДЕ нестабільні, проте, спостерігається загальна позитивна тенденція</w:t>
      </w:r>
      <w:r w:rsidR="00787612" w:rsidRPr="00B97DE1">
        <w:rPr>
          <w:rFonts w:ascii="Times New Roman" w:hAnsi="Times New Roman"/>
          <w:sz w:val="28"/>
        </w:rPr>
        <w:t xml:space="preserve"> їх зростання (</w:t>
      </w:r>
      <w:r w:rsidRPr="00B97DE1">
        <w:rPr>
          <w:rFonts w:ascii="Times New Roman" w:hAnsi="Times New Roman"/>
          <w:sz w:val="28"/>
        </w:rPr>
        <w:t>рис.</w:t>
      </w:r>
      <w:r w:rsidR="00787612" w:rsidRPr="00B97DE1">
        <w:rPr>
          <w:rFonts w:ascii="Times New Roman" w:hAnsi="Times New Roman"/>
          <w:sz w:val="28"/>
        </w:rPr>
        <w:t xml:space="preserve"> </w:t>
      </w:r>
      <w:r w:rsidR="00E273E8" w:rsidRPr="00B97DE1">
        <w:rPr>
          <w:rFonts w:ascii="Times New Roman" w:hAnsi="Times New Roman"/>
          <w:sz w:val="28"/>
        </w:rPr>
        <w:t>1</w:t>
      </w:r>
      <w:r w:rsidR="00787612" w:rsidRPr="00B97DE1">
        <w:rPr>
          <w:rFonts w:ascii="Times New Roman" w:hAnsi="Times New Roman"/>
          <w:sz w:val="28"/>
        </w:rPr>
        <w:t>)</w:t>
      </w:r>
      <w:r w:rsidRPr="00B97DE1">
        <w:rPr>
          <w:rFonts w:ascii="Times New Roman" w:hAnsi="Times New Roman"/>
          <w:sz w:val="28"/>
        </w:rPr>
        <w:t xml:space="preserve"> [</w:t>
      </w:r>
      <w:r w:rsidR="00DA1D7E" w:rsidRPr="00B97DE1">
        <w:rPr>
          <w:rFonts w:ascii="Times New Roman" w:hAnsi="Times New Roman"/>
          <w:sz w:val="28"/>
        </w:rPr>
        <w:t>3-</w:t>
      </w:r>
      <w:r w:rsidR="00900F8A" w:rsidRPr="00B97DE1">
        <w:rPr>
          <w:rFonts w:ascii="Times New Roman" w:hAnsi="Times New Roman"/>
          <w:sz w:val="28"/>
        </w:rPr>
        <w:t>4</w:t>
      </w:r>
      <w:r w:rsidRPr="00B97DE1">
        <w:rPr>
          <w:rFonts w:ascii="Times New Roman" w:hAnsi="Times New Roman"/>
          <w:sz w:val="28"/>
        </w:rPr>
        <w:t>]</w:t>
      </w:r>
      <w:r w:rsidR="00787612" w:rsidRPr="00B97DE1">
        <w:rPr>
          <w:rFonts w:ascii="Times New Roman" w:hAnsi="Times New Roman"/>
          <w:sz w:val="28"/>
        </w:rPr>
        <w:t>.</w:t>
      </w:r>
    </w:p>
    <w:p w14:paraId="028497B4" w14:textId="77777777" w:rsidR="00A95903" w:rsidRDefault="00A95903" w:rsidP="00A95903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B97DE1">
        <w:rPr>
          <w:rFonts w:ascii="Times New Roman" w:hAnsi="Times New Roman"/>
          <w:sz w:val="28"/>
        </w:rPr>
        <w:t>У сучасних дослідженнях, присвячених проблемам розвитку альтернативної енергетики, велику увагу приділяють питанням оцінки ефективності механізмів державної підтримки ВДЕ [6]</w:t>
      </w:r>
      <w:r>
        <w:rPr>
          <w:rFonts w:ascii="Times New Roman" w:hAnsi="Times New Roman"/>
          <w:sz w:val="28"/>
        </w:rPr>
        <w:t>.</w:t>
      </w:r>
      <w:r w:rsidRPr="00B97DE1">
        <w:rPr>
          <w:rFonts w:ascii="Times New Roman" w:hAnsi="Times New Roman"/>
          <w:sz w:val="28"/>
        </w:rPr>
        <w:t xml:space="preserve"> Така спрямованість робіт не випадкова. </w:t>
      </w:r>
    </w:p>
    <w:p w14:paraId="33359A8F" w14:textId="33BC7EA7" w:rsidR="00A95903" w:rsidRPr="00B97DE1" w:rsidRDefault="00A95903" w:rsidP="00A95903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B97DE1">
        <w:rPr>
          <w:rFonts w:ascii="Times New Roman" w:hAnsi="Times New Roman"/>
          <w:sz w:val="28"/>
        </w:rPr>
        <w:t>У зарубіжних країнах державна політика з підтримки розвитку альтернативної енергетики реалізується понад тридцять років. Накопичено значний досвід, що дозволяє оцінити ефективність застосування різноманітних інструментів регулювання. Порівняно із зарубіжними країнами розвиток альтернативних джерел енергії в Україні йде вкрай повільними темпами [7].</w:t>
      </w:r>
    </w:p>
    <w:p w14:paraId="4379D037" w14:textId="77777777" w:rsidR="00A95903" w:rsidRPr="002604D7" w:rsidRDefault="00A95903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14:paraId="6B372536" w14:textId="1F503EA2" w:rsidR="002604D7" w:rsidRDefault="002C228F" w:rsidP="00A95903">
      <w:pPr>
        <w:spacing w:after="0" w:line="276" w:lineRule="auto"/>
        <w:jc w:val="center"/>
        <w:rPr>
          <w:rFonts w:ascii="Times New Roman" w:hAnsi="Times New Roman"/>
          <w:sz w:val="28"/>
          <w:lang w:val="ru-RU"/>
        </w:rPr>
      </w:pPr>
      <w:r w:rsidRPr="008F64F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47F966E" wp14:editId="73B57C3E">
            <wp:extent cx="6084570" cy="3648075"/>
            <wp:effectExtent l="0" t="0" r="1143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64B4FA9" w14:textId="038837E8" w:rsidR="00B86E6F" w:rsidRPr="00B86E6F" w:rsidRDefault="00B86E6F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1. Світові сума</w:t>
      </w:r>
      <w:r w:rsidR="00A95903">
        <w:rPr>
          <w:rFonts w:ascii="Times New Roman" w:hAnsi="Times New Roman"/>
          <w:sz w:val="28"/>
        </w:rPr>
        <w:t>рні інвестиції у</w:t>
      </w:r>
      <w:r w:rsidR="00235DA8">
        <w:rPr>
          <w:rFonts w:ascii="Times New Roman" w:hAnsi="Times New Roman"/>
          <w:sz w:val="28"/>
        </w:rPr>
        <w:t xml:space="preserve"> ВДЕ</w:t>
      </w:r>
      <w:r w:rsidR="00A95903">
        <w:rPr>
          <w:rFonts w:ascii="Times New Roman" w:hAnsi="Times New Roman"/>
          <w:sz w:val="28"/>
        </w:rPr>
        <w:t>,</w:t>
      </w:r>
      <w:r w:rsidR="00235DA8">
        <w:rPr>
          <w:rFonts w:ascii="Times New Roman" w:hAnsi="Times New Roman"/>
          <w:sz w:val="28"/>
        </w:rPr>
        <w:t xml:space="preserve"> 2010-2022</w:t>
      </w:r>
      <w:r w:rsidR="00A9590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рр. </w:t>
      </w:r>
    </w:p>
    <w:p w14:paraId="3B3E2DCE" w14:textId="52D26E37" w:rsidR="00787612" w:rsidRPr="00A95903" w:rsidRDefault="00CF1153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B97DE1">
        <w:rPr>
          <w:rFonts w:ascii="Times New Roman" w:hAnsi="Times New Roman"/>
          <w:sz w:val="28"/>
        </w:rPr>
        <w:t xml:space="preserve">Джерело: </w:t>
      </w:r>
      <w:r w:rsidR="0084496A" w:rsidRPr="00A95903">
        <w:rPr>
          <w:rFonts w:ascii="Times New Roman" w:hAnsi="Times New Roman"/>
          <w:i/>
          <w:sz w:val="28"/>
        </w:rPr>
        <w:t>[</w:t>
      </w:r>
      <w:r w:rsidR="00900F8A" w:rsidRPr="00B97DE1">
        <w:rPr>
          <w:rFonts w:ascii="Times New Roman" w:hAnsi="Times New Roman"/>
          <w:i/>
          <w:sz w:val="28"/>
        </w:rPr>
        <w:t>5</w:t>
      </w:r>
      <w:r w:rsidR="0084496A" w:rsidRPr="00A95903">
        <w:rPr>
          <w:rFonts w:ascii="Times New Roman" w:hAnsi="Times New Roman"/>
          <w:i/>
          <w:sz w:val="28"/>
        </w:rPr>
        <w:t>]</w:t>
      </w:r>
    </w:p>
    <w:p w14:paraId="7A5632E5" w14:textId="77777777" w:rsidR="00CF1153" w:rsidRPr="00B97DE1" w:rsidRDefault="00CF1153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14:paraId="38F5AF06" w14:textId="21C051B6" w:rsidR="00F04257" w:rsidRDefault="00F04257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B97DE1">
        <w:rPr>
          <w:rFonts w:ascii="Times New Roman" w:hAnsi="Times New Roman"/>
          <w:sz w:val="28"/>
        </w:rPr>
        <w:t>Стабільний</w:t>
      </w:r>
      <w:r w:rsidRPr="00F04257">
        <w:rPr>
          <w:rFonts w:ascii="Times New Roman" w:hAnsi="Times New Roman"/>
          <w:sz w:val="28"/>
        </w:rPr>
        <w:t xml:space="preserve"> рівень прибутковості наявних технологій у галузі відновлюваної енергетики приваблює нові групи інвесторів, однак необхідний акцент на розвиток нових технологій. Під впливом світових технологічних</w:t>
      </w:r>
      <w:r>
        <w:rPr>
          <w:rFonts w:ascii="Times New Roman" w:hAnsi="Times New Roman"/>
          <w:sz w:val="28"/>
        </w:rPr>
        <w:t xml:space="preserve"> трендів</w:t>
      </w:r>
      <w:r w:rsidRPr="00F04257">
        <w:rPr>
          <w:rFonts w:ascii="Times New Roman" w:hAnsi="Times New Roman"/>
          <w:sz w:val="28"/>
        </w:rPr>
        <w:t xml:space="preserve"> в Україні очікується формування єдиної електроенергетичної системи нового покоління на основі технологій "розумних мереж" з розвитком відновлюваної енергетики, технологічного потенціалу енергозбереження. Стимулювання інвестицій доцільно для технології з найбільшим потенціалом зниження варто</w:t>
      </w:r>
      <w:r w:rsidR="00787612">
        <w:rPr>
          <w:rFonts w:ascii="Times New Roman" w:hAnsi="Times New Roman"/>
          <w:sz w:val="28"/>
        </w:rPr>
        <w:t xml:space="preserve">сті, з джерел VYGON </w:t>
      </w:r>
      <w:proofErr w:type="spellStart"/>
      <w:r w:rsidR="00787612">
        <w:rPr>
          <w:rFonts w:ascii="Times New Roman" w:hAnsi="Times New Roman"/>
          <w:sz w:val="28"/>
        </w:rPr>
        <w:t>Consulting</w:t>
      </w:r>
      <w:proofErr w:type="spellEnd"/>
      <w:r w:rsidR="00787612">
        <w:rPr>
          <w:rFonts w:ascii="Times New Roman" w:hAnsi="Times New Roman"/>
          <w:sz w:val="28"/>
        </w:rPr>
        <w:t xml:space="preserve"> (</w:t>
      </w:r>
      <w:r w:rsidRPr="00F04257">
        <w:rPr>
          <w:rFonts w:ascii="Times New Roman" w:hAnsi="Times New Roman"/>
          <w:sz w:val="28"/>
        </w:rPr>
        <w:t xml:space="preserve">рис. </w:t>
      </w:r>
      <w:r w:rsidR="00E273E8">
        <w:rPr>
          <w:rFonts w:ascii="Times New Roman" w:hAnsi="Times New Roman"/>
          <w:sz w:val="28"/>
        </w:rPr>
        <w:t>2</w:t>
      </w:r>
      <w:r w:rsidR="00787612">
        <w:rPr>
          <w:rFonts w:ascii="Times New Roman" w:hAnsi="Times New Roman"/>
          <w:sz w:val="28"/>
        </w:rPr>
        <w:t xml:space="preserve">, </w:t>
      </w:r>
      <w:r w:rsidR="00E273E8">
        <w:rPr>
          <w:rFonts w:ascii="Times New Roman" w:hAnsi="Times New Roman"/>
          <w:sz w:val="28"/>
        </w:rPr>
        <w:t>3</w:t>
      </w:r>
      <w:r w:rsidR="00787612">
        <w:rPr>
          <w:rFonts w:ascii="Times New Roman" w:hAnsi="Times New Roman"/>
          <w:sz w:val="28"/>
        </w:rPr>
        <w:t>).</w:t>
      </w:r>
    </w:p>
    <w:p w14:paraId="09B671DE" w14:textId="4F7144D0" w:rsidR="00F04257" w:rsidRDefault="00FE47AD" w:rsidP="003A5F62">
      <w:pPr>
        <w:spacing w:after="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eastAsia="uk-UA"/>
        </w:rPr>
        <w:lastRenderedPageBreak/>
        <w:drawing>
          <wp:inline distT="0" distB="0" distL="0" distR="0" wp14:anchorId="4769C457" wp14:editId="64B9A7FF">
            <wp:extent cx="6134100" cy="31527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701DB4" w14:textId="5A0CE4B0" w:rsidR="00E273E8" w:rsidRDefault="00E273E8" w:rsidP="00A95903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2. </w:t>
      </w:r>
      <w:r w:rsidRPr="00E273E8">
        <w:rPr>
          <w:rFonts w:ascii="Times New Roman" w:hAnsi="Times New Roman"/>
          <w:sz w:val="28"/>
        </w:rPr>
        <w:t xml:space="preserve">Графік </w:t>
      </w:r>
      <w:r>
        <w:rPr>
          <w:rFonts w:ascii="Times New Roman" w:hAnsi="Times New Roman"/>
          <w:sz w:val="28"/>
        </w:rPr>
        <w:t xml:space="preserve">залежності інвестицій у ВДЕ від </w:t>
      </w:r>
      <w:r w:rsidRPr="00E273E8">
        <w:rPr>
          <w:rFonts w:ascii="Times New Roman" w:hAnsi="Times New Roman"/>
          <w:sz w:val="28"/>
        </w:rPr>
        <w:t xml:space="preserve">технології з </w:t>
      </w:r>
      <w:r>
        <w:rPr>
          <w:rFonts w:ascii="Times New Roman" w:hAnsi="Times New Roman"/>
          <w:sz w:val="28"/>
        </w:rPr>
        <w:t xml:space="preserve">найбільшим потенціалом зниження </w:t>
      </w:r>
      <w:r w:rsidRPr="00E273E8">
        <w:rPr>
          <w:rFonts w:ascii="Times New Roman" w:hAnsi="Times New Roman"/>
          <w:sz w:val="28"/>
        </w:rPr>
        <w:t>вартості, L</w:t>
      </w:r>
      <w:r>
        <w:rPr>
          <w:rFonts w:ascii="Times New Roman" w:hAnsi="Times New Roman"/>
          <w:sz w:val="28"/>
        </w:rPr>
        <w:t>COE ВЕС і СЕС* мають найбільший потенціал до зниження вартості</w:t>
      </w:r>
      <w:r w:rsidR="00A95903">
        <w:rPr>
          <w:rFonts w:ascii="Times New Roman" w:hAnsi="Times New Roman"/>
          <w:sz w:val="28"/>
        </w:rPr>
        <w:t>; 2015 р. – прогноз до 2035 р.</w:t>
      </w:r>
      <w:r>
        <w:rPr>
          <w:rFonts w:ascii="Times New Roman" w:hAnsi="Times New Roman"/>
          <w:sz w:val="28"/>
        </w:rPr>
        <w:t xml:space="preserve"> </w:t>
      </w:r>
    </w:p>
    <w:p w14:paraId="758FB6C4" w14:textId="4597F541" w:rsidR="00F42BCC" w:rsidRDefault="00E273E8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E273E8">
        <w:rPr>
          <w:rFonts w:ascii="Times New Roman" w:hAnsi="Times New Roman"/>
          <w:sz w:val="28"/>
        </w:rPr>
        <w:t>*середня розрах</w:t>
      </w:r>
      <w:r>
        <w:rPr>
          <w:rFonts w:ascii="Times New Roman" w:hAnsi="Times New Roman"/>
          <w:sz w:val="28"/>
        </w:rPr>
        <w:t xml:space="preserve">ункова собівартість виробництва </w:t>
      </w:r>
      <w:r w:rsidRPr="00E273E8">
        <w:rPr>
          <w:rFonts w:ascii="Times New Roman" w:hAnsi="Times New Roman"/>
          <w:sz w:val="28"/>
        </w:rPr>
        <w:t>електроенергії протягом усього життєв</w:t>
      </w:r>
      <w:r>
        <w:rPr>
          <w:rFonts w:ascii="Times New Roman" w:hAnsi="Times New Roman"/>
          <w:sz w:val="28"/>
        </w:rPr>
        <w:t xml:space="preserve">ого циклу </w:t>
      </w:r>
      <w:r w:rsidRPr="00E273E8">
        <w:rPr>
          <w:rFonts w:ascii="Times New Roman" w:hAnsi="Times New Roman"/>
          <w:sz w:val="28"/>
        </w:rPr>
        <w:t>вітрової електроста</w:t>
      </w:r>
      <w:r>
        <w:rPr>
          <w:rFonts w:ascii="Times New Roman" w:hAnsi="Times New Roman"/>
          <w:sz w:val="28"/>
        </w:rPr>
        <w:t xml:space="preserve">нції та сонячної електростанції </w:t>
      </w:r>
      <w:r w:rsidRPr="00E273E8">
        <w:rPr>
          <w:rFonts w:ascii="Times New Roman" w:hAnsi="Times New Roman"/>
          <w:sz w:val="28"/>
        </w:rPr>
        <w:t>(включно з усіма можливими інвестиціями, витратами та доходами)</w:t>
      </w:r>
      <w:r w:rsidR="002D6991">
        <w:rPr>
          <w:rFonts w:ascii="Times New Roman" w:hAnsi="Times New Roman"/>
          <w:sz w:val="28"/>
        </w:rPr>
        <w:t>.</w:t>
      </w:r>
    </w:p>
    <w:p w14:paraId="0AC0F749" w14:textId="64BA55F7" w:rsidR="00CF1153" w:rsidRPr="00FB6FC8" w:rsidRDefault="00CF1153" w:rsidP="00CF1153">
      <w:pPr>
        <w:spacing w:after="0" w:line="276" w:lineRule="auto"/>
        <w:ind w:firstLine="708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Джерело: </w:t>
      </w:r>
      <w:r w:rsidR="00FB6FC8" w:rsidRPr="00B97DE1">
        <w:rPr>
          <w:rFonts w:ascii="Times New Roman" w:hAnsi="Times New Roman"/>
          <w:i/>
          <w:sz w:val="28"/>
          <w:lang w:val="en-US"/>
        </w:rPr>
        <w:t>[</w:t>
      </w:r>
      <w:r w:rsidR="00FB6FC8" w:rsidRPr="00B97DE1">
        <w:rPr>
          <w:rFonts w:ascii="Times New Roman" w:hAnsi="Times New Roman"/>
          <w:i/>
          <w:sz w:val="28"/>
        </w:rPr>
        <w:t>8</w:t>
      </w:r>
      <w:r w:rsidR="00FB6FC8" w:rsidRPr="00B97DE1">
        <w:rPr>
          <w:rFonts w:ascii="Times New Roman" w:hAnsi="Times New Roman"/>
          <w:i/>
          <w:sz w:val="28"/>
          <w:lang w:val="en-US"/>
        </w:rPr>
        <w:t>]</w:t>
      </w:r>
    </w:p>
    <w:p w14:paraId="71A892E8" w14:textId="517E8631" w:rsidR="002D6991" w:rsidRPr="00CF1153" w:rsidRDefault="002D6991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  <w:lang w:val="en-US"/>
        </w:rPr>
      </w:pPr>
    </w:p>
    <w:p w14:paraId="25636847" w14:textId="48806584" w:rsidR="00F42BCC" w:rsidRDefault="003E79EB" w:rsidP="003A5F62">
      <w:pPr>
        <w:spacing w:after="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 wp14:anchorId="00C3629B" wp14:editId="61C68EBF">
            <wp:extent cx="6138333" cy="3420534"/>
            <wp:effectExtent l="0" t="0" r="15240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AF6791" w14:textId="679E7148" w:rsidR="00E273E8" w:rsidRPr="00B05BDF" w:rsidRDefault="002D6991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Рисунок 3. Динаміка інвестицій ВДЕ по типам технологій</w:t>
      </w:r>
    </w:p>
    <w:p w14:paraId="27DB660A" w14:textId="7988D193" w:rsidR="00CF1153" w:rsidRPr="00CF1153" w:rsidRDefault="00CF1153" w:rsidP="00CF1153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Джерело: </w:t>
      </w:r>
      <w:r w:rsidR="00FB6FC8" w:rsidRPr="00B97DE1">
        <w:rPr>
          <w:rFonts w:ascii="Times New Roman" w:hAnsi="Times New Roman"/>
          <w:i/>
          <w:sz w:val="28"/>
          <w:lang w:val="en-US"/>
        </w:rPr>
        <w:t>[9]</w:t>
      </w:r>
    </w:p>
    <w:p w14:paraId="4D2F88C0" w14:textId="77777777" w:rsidR="008367D9" w:rsidRDefault="008367D9" w:rsidP="003A5F62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4A660AA4" w14:textId="03989972" w:rsidR="0084496A" w:rsidRPr="00A95903" w:rsidRDefault="00787612" w:rsidP="00A95903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787612">
        <w:rPr>
          <w:rFonts w:ascii="Times New Roman" w:hAnsi="Times New Roman"/>
          <w:sz w:val="28"/>
        </w:rPr>
        <w:lastRenderedPageBreak/>
        <w:t xml:space="preserve">За даними рисунку </w:t>
      </w:r>
      <w:r w:rsidR="0084496A">
        <w:rPr>
          <w:rFonts w:ascii="Times New Roman" w:hAnsi="Times New Roman"/>
          <w:sz w:val="28"/>
        </w:rPr>
        <w:t>спостерігається, що у сфері сучасної енергетики, особливо щодо ВДЕ, актуалізується потреба в об’єднанні зусиль, ресурсів та інтересів різних учасників виробництва, розподілу та використання енергії.</w:t>
      </w:r>
    </w:p>
    <w:p w14:paraId="07CDC9AC" w14:textId="01761C86" w:rsidR="0084496A" w:rsidRPr="00A95903" w:rsidRDefault="000D38E1" w:rsidP="00A95903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 w:rsidRPr="0080123E">
        <w:rPr>
          <w:rFonts w:ascii="Times New Roman" w:hAnsi="Times New Roman"/>
          <w:b/>
          <w:sz w:val="28"/>
        </w:rPr>
        <w:t>Висновки.</w:t>
      </w:r>
      <w:r w:rsidR="00A95903">
        <w:rPr>
          <w:rFonts w:ascii="Times New Roman" w:hAnsi="Times New Roman"/>
          <w:b/>
          <w:sz w:val="28"/>
        </w:rPr>
        <w:t xml:space="preserve"> </w:t>
      </w:r>
      <w:r w:rsidR="00787612">
        <w:rPr>
          <w:rFonts w:ascii="Times New Roman" w:hAnsi="Times New Roman"/>
          <w:sz w:val="28"/>
        </w:rPr>
        <w:t xml:space="preserve">Таким чином, </w:t>
      </w:r>
      <w:r w:rsidR="0084496A">
        <w:rPr>
          <w:rFonts w:ascii="Times New Roman" w:hAnsi="Times New Roman"/>
          <w:sz w:val="28"/>
        </w:rPr>
        <w:t xml:space="preserve">світова відновлювана енергетика продовжує розвиток як професійний, стабільний та </w:t>
      </w:r>
      <w:r w:rsidR="0084496A" w:rsidRPr="00926CF7">
        <w:rPr>
          <w:rFonts w:ascii="Times New Roman" w:hAnsi="Times New Roman"/>
          <w:sz w:val="28"/>
        </w:rPr>
        <w:t>зрілий</w:t>
      </w:r>
      <w:r w:rsidR="0084496A">
        <w:rPr>
          <w:rFonts w:ascii="Times New Roman" w:hAnsi="Times New Roman"/>
          <w:sz w:val="28"/>
        </w:rPr>
        <w:t xml:space="preserve"> інвестиційний ринок, спостерігається невідворотний тренд заміщення традиційної генерації на ВДЕ – інвестиції в сферу поступово зростають. </w:t>
      </w:r>
    </w:p>
    <w:p w14:paraId="7BA60266" w14:textId="265BB670" w:rsidR="000D38E1" w:rsidRPr="00842CB6" w:rsidRDefault="00787612" w:rsidP="003A5F6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0D38E1" w:rsidRPr="00842CB6">
        <w:rPr>
          <w:rFonts w:ascii="Times New Roman" w:hAnsi="Times New Roman"/>
          <w:sz w:val="28"/>
        </w:rPr>
        <w:t>ідновлювана енергетика України втратила значний обс</w:t>
      </w:r>
      <w:r w:rsidR="00842CB6">
        <w:rPr>
          <w:rFonts w:ascii="Times New Roman" w:hAnsi="Times New Roman"/>
          <w:sz w:val="28"/>
        </w:rPr>
        <w:t xml:space="preserve">яг </w:t>
      </w:r>
      <w:proofErr w:type="spellStart"/>
      <w:r w:rsidR="00842CB6">
        <w:rPr>
          <w:rFonts w:ascii="Times New Roman" w:hAnsi="Times New Roman"/>
          <w:sz w:val="28"/>
        </w:rPr>
        <w:t>потужностей</w:t>
      </w:r>
      <w:proofErr w:type="spellEnd"/>
      <w:r w:rsidR="00842CB6">
        <w:rPr>
          <w:rFonts w:ascii="Times New Roman" w:hAnsi="Times New Roman"/>
          <w:sz w:val="28"/>
        </w:rPr>
        <w:t xml:space="preserve"> внаслідок війни</w:t>
      </w:r>
      <w:r w:rsidR="000D38E1" w:rsidRPr="00842CB6">
        <w:rPr>
          <w:rFonts w:ascii="Times New Roman" w:hAnsi="Times New Roman"/>
          <w:sz w:val="28"/>
        </w:rPr>
        <w:t>.</w:t>
      </w:r>
      <w:r w:rsidR="00842CB6">
        <w:rPr>
          <w:rFonts w:ascii="Times New Roman" w:hAnsi="Times New Roman"/>
          <w:sz w:val="28"/>
        </w:rPr>
        <w:t xml:space="preserve"> </w:t>
      </w:r>
      <w:r w:rsidR="00842CB6" w:rsidRPr="00842CB6">
        <w:rPr>
          <w:rFonts w:ascii="Times New Roman" w:hAnsi="Times New Roman"/>
          <w:sz w:val="28"/>
        </w:rPr>
        <w:t>Втім, розвиток галузі у 2015-2021</w:t>
      </w:r>
      <w:r w:rsidR="000D38E1" w:rsidRPr="00842CB6">
        <w:rPr>
          <w:rFonts w:ascii="Times New Roman" w:hAnsi="Times New Roman"/>
          <w:sz w:val="28"/>
        </w:rPr>
        <w:t xml:space="preserve"> роках довів, що вона може бути </w:t>
      </w:r>
      <w:r w:rsidR="00C7130B">
        <w:rPr>
          <w:rFonts w:ascii="Times New Roman" w:hAnsi="Times New Roman"/>
          <w:sz w:val="28"/>
        </w:rPr>
        <w:t>«</w:t>
      </w:r>
      <w:r w:rsidR="000D38E1" w:rsidRPr="00842CB6">
        <w:rPr>
          <w:rFonts w:ascii="Times New Roman" w:hAnsi="Times New Roman"/>
          <w:sz w:val="28"/>
        </w:rPr>
        <w:t>інвестиційним магнітом</w:t>
      </w:r>
      <w:r w:rsidR="00C7130B">
        <w:rPr>
          <w:rFonts w:ascii="Times New Roman" w:hAnsi="Times New Roman"/>
          <w:sz w:val="28"/>
        </w:rPr>
        <w:t>»</w:t>
      </w:r>
      <w:r w:rsidR="000D38E1" w:rsidRPr="00842CB6">
        <w:rPr>
          <w:rFonts w:ascii="Times New Roman" w:hAnsi="Times New Roman"/>
          <w:sz w:val="28"/>
        </w:rPr>
        <w:t>, а сучасні вимоги щодо кліматичної політики Є</w:t>
      </w:r>
      <w:r>
        <w:rPr>
          <w:rFonts w:ascii="Times New Roman" w:hAnsi="Times New Roman"/>
          <w:sz w:val="28"/>
        </w:rPr>
        <w:t xml:space="preserve">вропейського </w:t>
      </w:r>
      <w:r w:rsidR="000D38E1" w:rsidRPr="00842CB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оюзу</w:t>
      </w:r>
      <w:r w:rsidR="000D38E1" w:rsidRPr="00842CB6">
        <w:rPr>
          <w:rFonts w:ascii="Times New Roman" w:hAnsi="Times New Roman"/>
          <w:sz w:val="28"/>
        </w:rPr>
        <w:t xml:space="preserve"> та глобальні тренди у сфері сталого розвитку лише підтверджують це. Тож розвиток відновлюваної енергетики повинен стати однією з основ відновлення української економіки та забезпечення енергетичної безпеки держави. З ці</w:t>
      </w:r>
      <w:r w:rsidR="00842CB6">
        <w:rPr>
          <w:rFonts w:ascii="Times New Roman" w:hAnsi="Times New Roman"/>
          <w:sz w:val="28"/>
        </w:rPr>
        <w:t>єю метою вже зараз потрібно почи</w:t>
      </w:r>
      <w:r w:rsidR="00842CB6" w:rsidRPr="00842CB6">
        <w:rPr>
          <w:rFonts w:ascii="Times New Roman" w:hAnsi="Times New Roman"/>
          <w:sz w:val="28"/>
        </w:rPr>
        <w:t>нати</w:t>
      </w:r>
      <w:r w:rsidR="000D38E1" w:rsidRPr="00842CB6">
        <w:rPr>
          <w:rFonts w:ascii="Times New Roman" w:hAnsi="Times New Roman"/>
          <w:sz w:val="28"/>
        </w:rPr>
        <w:t xml:space="preserve"> обговорення можливостей і бар’єрів розвитку галузі та визначити план дій під час та після закінчення війни</w:t>
      </w:r>
      <w:r w:rsidR="00842CB6" w:rsidRPr="00842CB6">
        <w:rPr>
          <w:rFonts w:ascii="Times New Roman" w:hAnsi="Times New Roman"/>
          <w:sz w:val="28"/>
        </w:rPr>
        <w:t>.</w:t>
      </w:r>
    </w:p>
    <w:p w14:paraId="522F6DB0" w14:textId="77777777" w:rsidR="000D38E1" w:rsidRDefault="000D38E1" w:rsidP="003A5F62">
      <w:pPr>
        <w:spacing w:after="0" w:line="276" w:lineRule="auto"/>
        <w:rPr>
          <w:rFonts w:ascii="Times New Roman" w:hAnsi="Times New Roman"/>
          <w:b/>
          <w:sz w:val="28"/>
        </w:rPr>
      </w:pPr>
    </w:p>
    <w:p w14:paraId="17AAD17C" w14:textId="77777777" w:rsidR="000D38E1" w:rsidRDefault="000D38E1" w:rsidP="003A5F6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97DE1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171F5A84" w14:textId="04279422" w:rsidR="00636112" w:rsidRPr="00425C99" w:rsidRDefault="00636112" w:rsidP="0063611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425C99">
        <w:rPr>
          <w:rFonts w:ascii="Times New Roman" w:hAnsi="Times New Roman"/>
          <w:sz w:val="28"/>
          <w:lang w:val="uk-UA"/>
        </w:rPr>
        <w:t>С</w:t>
      </w:r>
      <w:r w:rsidR="009727C0" w:rsidRPr="00425C99">
        <w:rPr>
          <w:rFonts w:ascii="Times New Roman" w:hAnsi="Times New Roman"/>
          <w:sz w:val="28"/>
          <w:lang w:val="uk-UA"/>
        </w:rPr>
        <w:t>тефанович</w:t>
      </w:r>
      <w:proofErr w:type="spellEnd"/>
      <w:r w:rsidR="009727C0" w:rsidRPr="00425C99">
        <w:rPr>
          <w:rFonts w:ascii="Times New Roman" w:hAnsi="Times New Roman"/>
          <w:sz w:val="28"/>
          <w:lang w:val="uk-UA"/>
        </w:rPr>
        <w:t xml:space="preserve"> Є.А. Інвестиційні </w:t>
      </w:r>
      <w:proofErr w:type="spellStart"/>
      <w:r w:rsidR="009727C0" w:rsidRPr="00425C99">
        <w:rPr>
          <w:rFonts w:ascii="Times New Roman" w:hAnsi="Times New Roman"/>
          <w:sz w:val="28"/>
          <w:lang w:val="uk-UA"/>
        </w:rPr>
        <w:t>проє</w:t>
      </w:r>
      <w:r w:rsidRPr="00425C99">
        <w:rPr>
          <w:rFonts w:ascii="Times New Roman" w:hAnsi="Times New Roman"/>
          <w:sz w:val="28"/>
          <w:lang w:val="uk-UA"/>
        </w:rPr>
        <w:t>кти</w:t>
      </w:r>
      <w:proofErr w:type="spellEnd"/>
      <w:r w:rsidRPr="00425C99">
        <w:rPr>
          <w:rFonts w:ascii="Times New Roman" w:hAnsi="Times New Roman"/>
          <w:sz w:val="28"/>
          <w:lang w:val="uk-UA"/>
        </w:rPr>
        <w:t xml:space="preserve"> та джерела їх фінансування. </w:t>
      </w:r>
      <w:r w:rsidRPr="00425C99">
        <w:rPr>
          <w:rFonts w:ascii="Times New Roman" w:hAnsi="Times New Roman"/>
          <w:i/>
          <w:sz w:val="28"/>
          <w:lang w:val="uk-UA"/>
        </w:rPr>
        <w:t xml:space="preserve">Інвестиції: практика та досвід. </w:t>
      </w:r>
      <w:proofErr w:type="spellStart"/>
      <w:r w:rsidRPr="00425C99">
        <w:rPr>
          <w:rFonts w:ascii="Times New Roman" w:hAnsi="Times New Roman"/>
          <w:sz w:val="28"/>
          <w:lang w:val="uk-UA"/>
        </w:rPr>
        <w:t>Вип</w:t>
      </w:r>
      <w:proofErr w:type="spellEnd"/>
      <w:r w:rsidRPr="00425C99">
        <w:rPr>
          <w:rFonts w:ascii="Times New Roman" w:hAnsi="Times New Roman"/>
          <w:sz w:val="28"/>
          <w:lang w:val="uk-UA"/>
        </w:rPr>
        <w:t>. 20. 2010. С. 8-12.</w:t>
      </w:r>
    </w:p>
    <w:p w14:paraId="01188EAF" w14:textId="6C44A987" w:rsidR="00636112" w:rsidRPr="00425C99" w:rsidRDefault="00DA1D7E" w:rsidP="00DA1D7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425C99">
        <w:rPr>
          <w:rFonts w:ascii="Times New Roman" w:hAnsi="Times New Roman"/>
          <w:sz w:val="28"/>
          <w:lang w:val="uk-UA"/>
        </w:rPr>
        <w:t>Щукі</w:t>
      </w:r>
      <w:r w:rsidR="009727C0" w:rsidRPr="00425C99">
        <w:rPr>
          <w:rFonts w:ascii="Times New Roman" w:hAnsi="Times New Roman"/>
          <w:sz w:val="28"/>
          <w:lang w:val="uk-UA"/>
        </w:rPr>
        <w:t>н</w:t>
      </w:r>
      <w:proofErr w:type="spellEnd"/>
      <w:r w:rsidR="009727C0" w:rsidRPr="00425C99">
        <w:rPr>
          <w:rFonts w:ascii="Times New Roman" w:hAnsi="Times New Roman"/>
          <w:sz w:val="28"/>
          <w:lang w:val="uk-UA"/>
        </w:rPr>
        <w:t xml:space="preserve"> Б.М. Аналіз інвестиційних </w:t>
      </w:r>
      <w:proofErr w:type="spellStart"/>
      <w:r w:rsidR="009727C0" w:rsidRPr="00425C99">
        <w:rPr>
          <w:rFonts w:ascii="Times New Roman" w:hAnsi="Times New Roman"/>
          <w:sz w:val="28"/>
          <w:lang w:val="uk-UA"/>
        </w:rPr>
        <w:t>проє</w:t>
      </w:r>
      <w:r w:rsidRPr="00425C99">
        <w:rPr>
          <w:rFonts w:ascii="Times New Roman" w:hAnsi="Times New Roman"/>
          <w:sz w:val="28"/>
          <w:lang w:val="uk-UA"/>
        </w:rPr>
        <w:t>ктів</w:t>
      </w:r>
      <w:proofErr w:type="spellEnd"/>
      <w:r w:rsidRPr="00425C99">
        <w:rPr>
          <w:rFonts w:ascii="Times New Roman" w:hAnsi="Times New Roman"/>
          <w:sz w:val="28"/>
          <w:lang w:val="uk-UA"/>
        </w:rPr>
        <w:t>. Конспект лекцій. МАУП.</w:t>
      </w:r>
      <w:r w:rsidR="009727C0" w:rsidRPr="00425C99">
        <w:rPr>
          <w:rFonts w:ascii="Times New Roman" w:hAnsi="Times New Roman"/>
          <w:sz w:val="28"/>
          <w:lang w:val="uk-UA"/>
        </w:rPr>
        <w:t xml:space="preserve"> 2002. </w:t>
      </w:r>
      <w:r w:rsidRPr="00425C99">
        <w:rPr>
          <w:rFonts w:ascii="Times New Roman" w:hAnsi="Times New Roman"/>
          <w:sz w:val="28"/>
          <w:lang w:val="uk-UA"/>
        </w:rPr>
        <w:t>128</w:t>
      </w:r>
      <w:r w:rsidR="009727C0" w:rsidRPr="00425C99">
        <w:rPr>
          <w:rFonts w:ascii="Times New Roman" w:hAnsi="Times New Roman"/>
          <w:sz w:val="28"/>
          <w:lang w:val="uk-UA"/>
        </w:rPr>
        <w:t xml:space="preserve"> с</w:t>
      </w:r>
      <w:r w:rsidRPr="00425C99">
        <w:rPr>
          <w:rFonts w:ascii="Times New Roman" w:hAnsi="Times New Roman"/>
          <w:sz w:val="28"/>
          <w:lang w:val="uk-UA"/>
        </w:rPr>
        <w:t>.</w:t>
      </w:r>
    </w:p>
    <w:p w14:paraId="665C7C80" w14:textId="0EFD627E" w:rsidR="00DA1D7E" w:rsidRPr="00425C99" w:rsidRDefault="00DA1D7E" w:rsidP="00DA1D7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uk-UA"/>
        </w:rPr>
      </w:pPr>
      <w:proofErr w:type="spellStart"/>
      <w:r w:rsidRPr="00425C99">
        <w:rPr>
          <w:rFonts w:ascii="Times New Roman" w:hAnsi="Times New Roman"/>
          <w:sz w:val="28"/>
          <w:lang w:val="uk-UA"/>
        </w:rPr>
        <w:t>Bloomberg</w:t>
      </w:r>
      <w:proofErr w:type="spellEnd"/>
      <w:r w:rsidRPr="00425C9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25C99">
        <w:rPr>
          <w:rFonts w:ascii="Times New Roman" w:hAnsi="Times New Roman"/>
          <w:sz w:val="28"/>
          <w:lang w:val="uk-UA"/>
        </w:rPr>
        <w:t>New</w:t>
      </w:r>
      <w:proofErr w:type="spellEnd"/>
      <w:r w:rsidRPr="00425C9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25C99">
        <w:rPr>
          <w:rFonts w:ascii="Times New Roman" w:hAnsi="Times New Roman"/>
          <w:sz w:val="28"/>
          <w:lang w:val="uk-UA"/>
        </w:rPr>
        <w:t>Energy</w:t>
      </w:r>
      <w:proofErr w:type="spellEnd"/>
      <w:r w:rsidRPr="00425C9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425C99">
        <w:rPr>
          <w:rFonts w:ascii="Times New Roman" w:hAnsi="Times New Roman"/>
          <w:sz w:val="28"/>
          <w:lang w:val="uk-UA"/>
        </w:rPr>
        <w:t>Finance</w:t>
      </w:r>
      <w:proofErr w:type="spellEnd"/>
      <w:r w:rsidRPr="00425C99">
        <w:rPr>
          <w:rFonts w:ascii="Times New Roman" w:hAnsi="Times New Roman"/>
          <w:sz w:val="28"/>
          <w:lang w:val="uk-UA"/>
        </w:rPr>
        <w:t>, 2018</w:t>
      </w:r>
      <w:r w:rsidR="009727C0" w:rsidRPr="00425C99">
        <w:rPr>
          <w:rFonts w:ascii="Times New Roman" w:hAnsi="Times New Roman"/>
          <w:sz w:val="28"/>
          <w:lang w:val="uk-UA"/>
        </w:rPr>
        <w:t>.</w:t>
      </w:r>
      <w:r w:rsidRPr="00425C99">
        <w:rPr>
          <w:rFonts w:ascii="Times New Roman" w:hAnsi="Times New Roman"/>
          <w:sz w:val="28"/>
          <w:lang w:val="uk-UA"/>
        </w:rPr>
        <w:t xml:space="preserve"> URL: </w:t>
      </w:r>
      <w:hyperlink r:id="rId9" w:history="1">
        <w:r w:rsidRPr="00425C99">
          <w:rPr>
            <w:rStyle w:val="a7"/>
            <w:rFonts w:ascii="Times New Roman" w:hAnsi="Times New Roman"/>
            <w:color w:val="auto"/>
            <w:sz w:val="28"/>
            <w:u w:val="none"/>
            <w:lang w:val="uk-UA"/>
          </w:rPr>
          <w:t>www.bloomberg.com/impact/products/bloombergnef/</w:t>
        </w:r>
      </w:hyperlink>
      <w:r w:rsidR="009727C0" w:rsidRPr="00425C99">
        <w:rPr>
          <w:rFonts w:ascii="Times New Roman" w:hAnsi="Times New Roman"/>
          <w:sz w:val="28"/>
          <w:lang w:val="uk-UA"/>
        </w:rPr>
        <w:t xml:space="preserve"> (дата звернення: 05.09.2024</w:t>
      </w:r>
      <w:r w:rsidRPr="00425C99">
        <w:rPr>
          <w:rFonts w:ascii="Times New Roman" w:hAnsi="Times New Roman"/>
          <w:sz w:val="28"/>
          <w:lang w:val="uk-UA"/>
        </w:rPr>
        <w:t>)</w:t>
      </w:r>
      <w:r w:rsidR="009727C0" w:rsidRPr="00425C99">
        <w:rPr>
          <w:rFonts w:ascii="Times New Roman" w:hAnsi="Times New Roman"/>
          <w:sz w:val="28"/>
          <w:lang w:val="uk-UA"/>
        </w:rPr>
        <w:t>.</w:t>
      </w:r>
    </w:p>
    <w:p w14:paraId="5D421E8F" w14:textId="66498C94" w:rsidR="00900F8A" w:rsidRPr="00425C99" w:rsidRDefault="00DA1D7E" w:rsidP="00900F8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425C99">
        <w:rPr>
          <w:rFonts w:ascii="Times New Roman" w:hAnsi="Times New Roman"/>
          <w:sz w:val="28"/>
          <w:lang w:val="uk-UA"/>
        </w:rPr>
        <w:t>Завербний</w:t>
      </w:r>
      <w:proofErr w:type="spellEnd"/>
      <w:r w:rsidRPr="00425C99">
        <w:rPr>
          <w:rFonts w:ascii="Times New Roman" w:hAnsi="Times New Roman"/>
          <w:sz w:val="28"/>
          <w:lang w:val="uk-UA"/>
        </w:rPr>
        <w:t xml:space="preserve"> А.С.</w:t>
      </w:r>
      <w:r w:rsidR="00900F8A" w:rsidRPr="00425C99">
        <w:rPr>
          <w:rFonts w:ascii="Times New Roman" w:hAnsi="Times New Roman"/>
          <w:sz w:val="28"/>
          <w:lang w:val="uk-UA"/>
        </w:rPr>
        <w:t>,</w:t>
      </w:r>
      <w:r w:rsidRPr="00425C99">
        <w:rPr>
          <w:rFonts w:ascii="Times New Roman" w:hAnsi="Times New Roman"/>
          <w:sz w:val="28"/>
          <w:lang w:val="uk-UA"/>
        </w:rPr>
        <w:t xml:space="preserve"> Псуй М.С.</w:t>
      </w:r>
      <w:r w:rsidR="00900F8A" w:rsidRPr="00425C99">
        <w:rPr>
          <w:rFonts w:ascii="Times New Roman" w:hAnsi="Times New Roman"/>
          <w:sz w:val="28"/>
          <w:lang w:val="uk-UA"/>
        </w:rPr>
        <w:t>,</w:t>
      </w:r>
      <w:r w:rsidRPr="00425C9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900F8A" w:rsidRPr="00425C99">
        <w:rPr>
          <w:rFonts w:ascii="Times New Roman" w:hAnsi="Times New Roman"/>
          <w:sz w:val="28"/>
          <w:lang w:val="uk-UA"/>
        </w:rPr>
        <w:t>Керницький</w:t>
      </w:r>
      <w:proofErr w:type="spellEnd"/>
      <w:r w:rsidR="00900F8A" w:rsidRPr="00425C99">
        <w:rPr>
          <w:rFonts w:ascii="Times New Roman" w:hAnsi="Times New Roman"/>
          <w:sz w:val="28"/>
          <w:lang w:val="uk-UA"/>
        </w:rPr>
        <w:t xml:space="preserve"> І.С. Світові тенденції розвитку енергетики та потенційні можливості для підвищення рівня енергетичної безпеки України в умовах інтегрування її енергетичного сектору. </w:t>
      </w:r>
      <w:r w:rsidR="00900F8A" w:rsidRPr="00425C99">
        <w:rPr>
          <w:rFonts w:ascii="Times New Roman" w:hAnsi="Times New Roman"/>
          <w:i/>
          <w:sz w:val="28"/>
          <w:lang w:val="uk-UA"/>
        </w:rPr>
        <w:t xml:space="preserve">Соціально-правові студії. </w:t>
      </w:r>
      <w:proofErr w:type="spellStart"/>
      <w:r w:rsidR="00900F8A" w:rsidRPr="00425C99">
        <w:rPr>
          <w:rFonts w:ascii="Times New Roman" w:hAnsi="Times New Roman"/>
          <w:sz w:val="28"/>
          <w:lang w:val="uk-UA"/>
        </w:rPr>
        <w:t>Вип</w:t>
      </w:r>
      <w:proofErr w:type="spellEnd"/>
      <w:r w:rsidR="00900F8A" w:rsidRPr="00425C99">
        <w:rPr>
          <w:rFonts w:ascii="Times New Roman" w:hAnsi="Times New Roman"/>
          <w:sz w:val="28"/>
          <w:lang w:val="uk-UA"/>
        </w:rPr>
        <w:t>. 1. 2018. С. 121-127.</w:t>
      </w:r>
    </w:p>
    <w:p w14:paraId="4433D5A8" w14:textId="6265D166" w:rsidR="00636112" w:rsidRPr="00425C99" w:rsidRDefault="00636112" w:rsidP="00900F8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425C99">
        <w:rPr>
          <w:rFonts w:ascii="Times New Roman" w:hAnsi="Times New Roman"/>
          <w:sz w:val="28"/>
          <w:lang w:val="uk-UA"/>
        </w:rPr>
        <w:t>Пріб</w:t>
      </w:r>
      <w:proofErr w:type="spellEnd"/>
      <w:r w:rsidRPr="00425C99">
        <w:rPr>
          <w:rFonts w:ascii="Times New Roman" w:hAnsi="Times New Roman"/>
          <w:sz w:val="28"/>
          <w:lang w:val="uk-UA"/>
        </w:rPr>
        <w:t xml:space="preserve"> К.А. Інвестування в розвиток відновлюваних джерел енергії. </w:t>
      </w:r>
      <w:r w:rsidRPr="00425C99">
        <w:rPr>
          <w:rFonts w:ascii="Times New Roman" w:hAnsi="Times New Roman"/>
          <w:i/>
          <w:sz w:val="28"/>
          <w:lang w:val="uk-UA"/>
        </w:rPr>
        <w:t xml:space="preserve">Наукові записки </w:t>
      </w:r>
      <w:proofErr w:type="spellStart"/>
      <w:r w:rsidRPr="00425C99">
        <w:rPr>
          <w:rFonts w:ascii="Times New Roman" w:hAnsi="Times New Roman"/>
          <w:i/>
          <w:sz w:val="28"/>
          <w:lang w:val="uk-UA"/>
        </w:rPr>
        <w:t>НаУКМА</w:t>
      </w:r>
      <w:proofErr w:type="spellEnd"/>
      <w:r w:rsidRPr="00425C99">
        <w:rPr>
          <w:rFonts w:ascii="Times New Roman" w:hAnsi="Times New Roman"/>
          <w:i/>
          <w:sz w:val="28"/>
          <w:lang w:val="uk-UA"/>
        </w:rPr>
        <w:t>.</w:t>
      </w:r>
      <w:r w:rsidRPr="00425C99">
        <w:rPr>
          <w:rFonts w:ascii="Times New Roman" w:hAnsi="Times New Roman"/>
          <w:sz w:val="28"/>
          <w:lang w:val="uk-UA"/>
        </w:rPr>
        <w:t xml:space="preserve"> Економічні науки. Том 6. </w:t>
      </w:r>
      <w:proofErr w:type="spellStart"/>
      <w:r w:rsidRPr="00425C99">
        <w:rPr>
          <w:rFonts w:ascii="Times New Roman" w:hAnsi="Times New Roman"/>
          <w:sz w:val="28"/>
          <w:lang w:val="uk-UA"/>
        </w:rPr>
        <w:t>Вип</w:t>
      </w:r>
      <w:proofErr w:type="spellEnd"/>
      <w:r w:rsidRPr="00425C99">
        <w:rPr>
          <w:rFonts w:ascii="Times New Roman" w:hAnsi="Times New Roman"/>
          <w:sz w:val="28"/>
          <w:lang w:val="uk-UA"/>
        </w:rPr>
        <w:t>. 1. 2021.               С. 111-116.</w:t>
      </w:r>
    </w:p>
    <w:p w14:paraId="01AA9CF6" w14:textId="7709BD2D" w:rsidR="00337B56" w:rsidRPr="00425C99" w:rsidRDefault="00900F8A" w:rsidP="00337B5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25C99">
        <w:rPr>
          <w:rFonts w:ascii="Times New Roman" w:hAnsi="Times New Roman"/>
          <w:sz w:val="28"/>
          <w:lang w:val="uk-UA"/>
        </w:rPr>
        <w:t xml:space="preserve">Ризики для енергетичної безпеки: </w:t>
      </w:r>
      <w:r w:rsidR="00337B56" w:rsidRPr="00425C99">
        <w:rPr>
          <w:rFonts w:ascii="Times New Roman" w:hAnsi="Times New Roman"/>
          <w:sz w:val="28"/>
          <w:lang w:val="uk-UA"/>
        </w:rPr>
        <w:t xml:space="preserve">глобальний і національний аспекти: аналітична записка: URL: </w:t>
      </w:r>
      <w:hyperlink r:id="rId10" w:history="1">
        <w:r w:rsidR="00337B56" w:rsidRPr="00425C99">
          <w:rPr>
            <w:rStyle w:val="a7"/>
            <w:rFonts w:ascii="Times New Roman" w:hAnsi="Times New Roman"/>
            <w:color w:val="auto"/>
            <w:sz w:val="28"/>
            <w:u w:val="none"/>
            <w:lang w:val="uk-UA"/>
          </w:rPr>
          <w:t>https://niss.gov.ua/doslidzhennya/nacionalna-bezpeka/riziki-dlya-energetichnoi-bezpeki-globalniy-i-nacionalniy-aspekti</w:t>
        </w:r>
      </w:hyperlink>
      <w:r w:rsidR="009727C0" w:rsidRPr="00425C99">
        <w:rPr>
          <w:rFonts w:ascii="Times New Roman" w:hAnsi="Times New Roman"/>
          <w:sz w:val="28"/>
          <w:lang w:val="uk-UA"/>
        </w:rPr>
        <w:t xml:space="preserve"> (д</w:t>
      </w:r>
      <w:r w:rsidR="00337B56" w:rsidRPr="00425C99">
        <w:rPr>
          <w:rFonts w:ascii="Times New Roman" w:hAnsi="Times New Roman"/>
          <w:sz w:val="28"/>
          <w:lang w:val="uk-UA"/>
        </w:rPr>
        <w:t>ат</w:t>
      </w:r>
      <w:r w:rsidR="009727C0" w:rsidRPr="00425C99">
        <w:rPr>
          <w:rFonts w:ascii="Times New Roman" w:hAnsi="Times New Roman"/>
          <w:sz w:val="28"/>
          <w:lang w:val="uk-UA"/>
        </w:rPr>
        <w:t>а звернення: 09.09.2024</w:t>
      </w:r>
      <w:r w:rsidR="00337B56" w:rsidRPr="00425C99">
        <w:rPr>
          <w:rFonts w:ascii="Times New Roman" w:hAnsi="Times New Roman"/>
          <w:sz w:val="28"/>
          <w:lang w:val="uk-UA"/>
        </w:rPr>
        <w:t>).</w:t>
      </w:r>
    </w:p>
    <w:p w14:paraId="029C9207" w14:textId="671AB681" w:rsidR="001C6471" w:rsidRPr="00425C99" w:rsidRDefault="001C6471" w:rsidP="000E2F2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NewRomanPS-ItalicMT" w:eastAsia="TimesNewRomanPS-ItalicMT" w:cs="TimesNewRomanPS-ItalicMT"/>
          <w:i/>
          <w:iCs/>
          <w:sz w:val="16"/>
          <w:szCs w:val="16"/>
        </w:rPr>
      </w:pPr>
      <w:proofErr w:type="spellStart"/>
      <w:r w:rsidRPr="00425C99">
        <w:rPr>
          <w:rFonts w:ascii="Times New Roman" w:hAnsi="Times New Roman"/>
          <w:sz w:val="28"/>
          <w:lang w:val="uk-UA"/>
        </w:rPr>
        <w:t>Дороніна</w:t>
      </w:r>
      <w:proofErr w:type="spellEnd"/>
      <w:r w:rsidRPr="00425C99">
        <w:rPr>
          <w:rFonts w:ascii="Times New Roman" w:hAnsi="Times New Roman"/>
          <w:sz w:val="28"/>
          <w:lang w:val="uk-UA"/>
        </w:rPr>
        <w:t xml:space="preserve"> І.І. Трансформація енергетичного секатору ЄС та України: відновлювані джерела енергії. </w:t>
      </w:r>
      <w:r w:rsidRPr="00425C99">
        <w:rPr>
          <w:rFonts w:ascii="Times New Roman" w:hAnsi="Times New Roman"/>
          <w:i/>
          <w:sz w:val="28"/>
          <w:lang w:val="uk-UA"/>
        </w:rPr>
        <w:t>Наукові записки Інституту законодавства Верховної Ради України</w:t>
      </w:r>
      <w:r w:rsidRPr="00425C99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425C99">
        <w:rPr>
          <w:rFonts w:ascii="Times New Roman" w:hAnsi="Times New Roman"/>
          <w:sz w:val="28"/>
          <w:lang w:val="uk-UA"/>
        </w:rPr>
        <w:t>Вип</w:t>
      </w:r>
      <w:proofErr w:type="spellEnd"/>
      <w:r w:rsidRPr="00425C99">
        <w:rPr>
          <w:rFonts w:ascii="Times New Roman" w:hAnsi="Times New Roman"/>
          <w:sz w:val="28"/>
          <w:lang w:val="uk-UA"/>
        </w:rPr>
        <w:t xml:space="preserve">. 4. 2019. С. 122-129. URL: </w:t>
      </w:r>
      <w:hyperlink r:id="rId11" w:history="1">
        <w:r w:rsidRPr="00425C99">
          <w:rPr>
            <w:rStyle w:val="a7"/>
            <w:rFonts w:ascii="Times New Roman" w:hAnsi="Times New Roman"/>
            <w:color w:val="auto"/>
            <w:sz w:val="28"/>
            <w:u w:val="none"/>
            <w:lang w:val="uk-UA"/>
          </w:rPr>
          <w:t>http://nbuv.gov.ua/UJRN/Nzizvru_2019_4_14</w:t>
        </w:r>
      </w:hyperlink>
      <w:r w:rsidR="009727C0" w:rsidRPr="00425C99">
        <w:rPr>
          <w:rStyle w:val="a7"/>
          <w:rFonts w:ascii="Times New Roman" w:hAnsi="Times New Roman"/>
          <w:color w:val="auto"/>
          <w:sz w:val="28"/>
          <w:u w:val="none"/>
          <w:lang w:val="uk-UA"/>
        </w:rPr>
        <w:t xml:space="preserve"> </w:t>
      </w:r>
      <w:r w:rsidR="000E2F2B" w:rsidRPr="00425C99">
        <w:rPr>
          <w:rFonts w:ascii="Times New Roman" w:hAnsi="Times New Roman"/>
          <w:sz w:val="28"/>
          <w:lang w:val="uk-UA"/>
        </w:rPr>
        <w:t>(</w:t>
      </w:r>
      <w:r w:rsidR="009727C0" w:rsidRPr="00425C99">
        <w:rPr>
          <w:rFonts w:ascii="Times New Roman" w:hAnsi="Times New Roman"/>
          <w:sz w:val="28"/>
          <w:lang w:val="uk-UA"/>
        </w:rPr>
        <w:t>дата звернення: 09.09.2024</w:t>
      </w:r>
      <w:r w:rsidR="000E2F2B" w:rsidRPr="00425C99">
        <w:rPr>
          <w:rFonts w:ascii="Times New Roman" w:hAnsi="Times New Roman"/>
          <w:sz w:val="28"/>
          <w:lang w:val="uk-UA"/>
        </w:rPr>
        <w:t>).</w:t>
      </w:r>
    </w:p>
    <w:p w14:paraId="4788059C" w14:textId="651FEA58" w:rsidR="000E2F2B" w:rsidRPr="00425C99" w:rsidRDefault="000E2F2B" w:rsidP="00FB6FC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25C99">
        <w:rPr>
          <w:rFonts w:ascii="Times New Roman" w:hAnsi="Times New Roman"/>
          <w:sz w:val="28"/>
          <w:lang w:val="uk-UA"/>
        </w:rPr>
        <w:lastRenderedPageBreak/>
        <w:t xml:space="preserve">Омельченко В. </w:t>
      </w:r>
      <w:hyperlink r:id="rId12" w:history="1">
        <w:r w:rsidRPr="00425C99">
          <w:rPr>
            <w:rFonts w:ascii="Times New Roman" w:hAnsi="Times New Roman"/>
            <w:sz w:val="28"/>
            <w:lang w:val="uk-UA"/>
          </w:rPr>
          <w:t>Сектор відновлюваної енергетики України до, під час та після війни</w:t>
        </w:r>
      </w:hyperlink>
      <w:r w:rsidR="00FB6FC8" w:rsidRPr="00425C99">
        <w:rPr>
          <w:rFonts w:ascii="Times New Roman" w:hAnsi="Times New Roman"/>
          <w:sz w:val="28"/>
          <w:lang w:val="uk-UA"/>
        </w:rPr>
        <w:t>. Стаття та інтерв’ю.</w:t>
      </w:r>
      <w:r w:rsidR="00FB6FC8" w:rsidRPr="00425C99">
        <w:rPr>
          <w:rFonts w:ascii="Times New Roman" w:hAnsi="Times New Roman"/>
          <w:i/>
          <w:sz w:val="28"/>
          <w:lang w:val="uk-UA"/>
        </w:rPr>
        <w:t xml:space="preserve"> </w:t>
      </w:r>
      <w:r w:rsidR="00FB6FC8" w:rsidRPr="00425C99">
        <w:rPr>
          <w:rFonts w:ascii="Times New Roman" w:hAnsi="Times New Roman"/>
          <w:sz w:val="28"/>
          <w:lang w:val="uk-UA"/>
        </w:rPr>
        <w:t xml:space="preserve">2022. URL: </w:t>
      </w:r>
      <w:hyperlink r:id="rId13" w:history="1">
        <w:r w:rsidR="00FB6FC8" w:rsidRPr="00425C99">
          <w:rPr>
            <w:rStyle w:val="a7"/>
            <w:rFonts w:ascii="Times New Roman" w:hAnsi="Times New Roman"/>
            <w:color w:val="auto"/>
            <w:sz w:val="28"/>
            <w:u w:val="none"/>
            <w:lang w:val="uk-UA"/>
          </w:rPr>
          <w:t>https://razumkov.org.ua/statti/sektor-vidnovlyuvanoyi-energetyky-ukrayiny-do-pid-chas-ta-pislya-viyny</w:t>
        </w:r>
      </w:hyperlink>
      <w:r w:rsidR="00425C99" w:rsidRPr="00425C99">
        <w:rPr>
          <w:rFonts w:ascii="Times New Roman" w:hAnsi="Times New Roman"/>
          <w:sz w:val="28"/>
          <w:lang w:val="uk-UA"/>
        </w:rPr>
        <w:t xml:space="preserve"> (дата звернення: 12.09.2024</w:t>
      </w:r>
      <w:r w:rsidR="00FB6FC8" w:rsidRPr="00425C99">
        <w:rPr>
          <w:rFonts w:ascii="Times New Roman" w:hAnsi="Times New Roman"/>
          <w:sz w:val="28"/>
          <w:lang w:val="uk-UA"/>
        </w:rPr>
        <w:t>)</w:t>
      </w:r>
      <w:r w:rsidR="00B97DE1" w:rsidRPr="00425C99">
        <w:rPr>
          <w:rFonts w:ascii="Times New Roman" w:hAnsi="Times New Roman"/>
          <w:sz w:val="28"/>
          <w:lang w:val="uk-UA"/>
        </w:rPr>
        <w:t>.</w:t>
      </w:r>
    </w:p>
    <w:p w14:paraId="06A3BB71" w14:textId="23D0835B" w:rsidR="00FB6FC8" w:rsidRPr="00425C99" w:rsidRDefault="00FB6FC8" w:rsidP="00FB6FC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25C99">
        <w:rPr>
          <w:rFonts w:ascii="Times New Roman" w:hAnsi="Times New Roman"/>
          <w:sz w:val="28"/>
          <w:lang w:val="uk-UA"/>
        </w:rPr>
        <w:t xml:space="preserve">Маркевич К., </w:t>
      </w:r>
      <w:proofErr w:type="spellStart"/>
      <w:r w:rsidRPr="00425C99">
        <w:rPr>
          <w:rFonts w:ascii="Times New Roman" w:hAnsi="Times New Roman"/>
          <w:sz w:val="28"/>
          <w:lang w:val="uk-UA"/>
        </w:rPr>
        <w:t>Сіденко</w:t>
      </w:r>
      <w:proofErr w:type="spellEnd"/>
      <w:r w:rsidRPr="00425C99">
        <w:rPr>
          <w:rFonts w:ascii="Times New Roman" w:hAnsi="Times New Roman"/>
          <w:sz w:val="28"/>
          <w:lang w:val="uk-UA"/>
        </w:rPr>
        <w:t xml:space="preserve"> В. «Зелені» інвестиції у сталому розвитку: світовий досвід та український контекст. Аналітична доповідь. </w:t>
      </w:r>
      <w:r w:rsidR="00B97DE1" w:rsidRPr="00425C99">
        <w:rPr>
          <w:rFonts w:ascii="Times New Roman" w:hAnsi="Times New Roman"/>
          <w:sz w:val="28"/>
          <w:lang w:val="uk-UA"/>
        </w:rPr>
        <w:t>Київ. 2019. С. 64-69.</w:t>
      </w:r>
    </w:p>
    <w:p w14:paraId="724430E3" w14:textId="49CAA695" w:rsidR="000E2F2B" w:rsidRPr="000E2F2B" w:rsidRDefault="000E2F2B" w:rsidP="00FB6FC8">
      <w:pPr>
        <w:pStyle w:val="a9"/>
        <w:spacing w:after="0" w:line="240" w:lineRule="auto"/>
        <w:ind w:left="927"/>
        <w:jc w:val="both"/>
        <w:rPr>
          <w:rFonts w:ascii="TimesNewRomanPS-ItalicMT" w:eastAsia="TimesNewRomanPS-ItalicMT" w:cs="TimesNewRomanPS-ItalicMT"/>
          <w:i/>
          <w:iCs/>
          <w:sz w:val="16"/>
          <w:szCs w:val="16"/>
        </w:rPr>
      </w:pPr>
    </w:p>
    <w:p w14:paraId="008FDFAB" w14:textId="7CC86562" w:rsidR="000D38E1" w:rsidRPr="00DA1D7E" w:rsidRDefault="000D38E1" w:rsidP="00DA1D7E">
      <w:pPr>
        <w:pStyle w:val="a9"/>
        <w:spacing w:after="0" w:line="276" w:lineRule="auto"/>
        <w:ind w:left="927"/>
        <w:rPr>
          <w:rFonts w:ascii="Times New Roman" w:hAnsi="Times New Roman" w:cs="Times New Roman"/>
          <w:sz w:val="28"/>
          <w:szCs w:val="28"/>
        </w:rPr>
      </w:pPr>
    </w:p>
    <w:sectPr w:rsidR="000D38E1" w:rsidRPr="00DA1D7E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1FA8"/>
    <w:multiLevelType w:val="hybridMultilevel"/>
    <w:tmpl w:val="E384E18A"/>
    <w:lvl w:ilvl="0" w:tplc="2E8E77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6F2742"/>
    <w:multiLevelType w:val="hybridMultilevel"/>
    <w:tmpl w:val="E384E18A"/>
    <w:lvl w:ilvl="0" w:tplc="2E8E77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B2341F"/>
    <w:multiLevelType w:val="hybridMultilevel"/>
    <w:tmpl w:val="E384E18A"/>
    <w:lvl w:ilvl="0" w:tplc="2E8E77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8763C5"/>
    <w:multiLevelType w:val="hybridMultilevel"/>
    <w:tmpl w:val="E384E18A"/>
    <w:lvl w:ilvl="0" w:tplc="2E8E77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09"/>
    <w:rsid w:val="000D38E1"/>
    <w:rsid w:val="000E2682"/>
    <w:rsid w:val="000E2F2B"/>
    <w:rsid w:val="001C6471"/>
    <w:rsid w:val="00235DA8"/>
    <w:rsid w:val="002604D7"/>
    <w:rsid w:val="002C228F"/>
    <w:rsid w:val="002D6991"/>
    <w:rsid w:val="00333BF0"/>
    <w:rsid w:val="00337B56"/>
    <w:rsid w:val="003A5F62"/>
    <w:rsid w:val="003B045A"/>
    <w:rsid w:val="003C03E5"/>
    <w:rsid w:val="003E79EB"/>
    <w:rsid w:val="00425C99"/>
    <w:rsid w:val="0049443F"/>
    <w:rsid w:val="00580C18"/>
    <w:rsid w:val="00636112"/>
    <w:rsid w:val="006741AA"/>
    <w:rsid w:val="006A4643"/>
    <w:rsid w:val="006E7141"/>
    <w:rsid w:val="00734A67"/>
    <w:rsid w:val="00787612"/>
    <w:rsid w:val="007E765E"/>
    <w:rsid w:val="007F655B"/>
    <w:rsid w:val="008367D9"/>
    <w:rsid w:val="008428B2"/>
    <w:rsid w:val="00842CB6"/>
    <w:rsid w:val="0084496A"/>
    <w:rsid w:val="008B241C"/>
    <w:rsid w:val="008C30CA"/>
    <w:rsid w:val="008F64FC"/>
    <w:rsid w:val="00900F8A"/>
    <w:rsid w:val="00926CF7"/>
    <w:rsid w:val="009727C0"/>
    <w:rsid w:val="00A95903"/>
    <w:rsid w:val="00B05BDF"/>
    <w:rsid w:val="00B37F42"/>
    <w:rsid w:val="00B82D48"/>
    <w:rsid w:val="00B86E6F"/>
    <w:rsid w:val="00B97DE1"/>
    <w:rsid w:val="00BD1AAF"/>
    <w:rsid w:val="00BF0177"/>
    <w:rsid w:val="00C53227"/>
    <w:rsid w:val="00C7130B"/>
    <w:rsid w:val="00C73977"/>
    <w:rsid w:val="00CC1709"/>
    <w:rsid w:val="00CF1153"/>
    <w:rsid w:val="00CF45FA"/>
    <w:rsid w:val="00D12644"/>
    <w:rsid w:val="00D90ED1"/>
    <w:rsid w:val="00DA1D7E"/>
    <w:rsid w:val="00DE2D27"/>
    <w:rsid w:val="00E04F35"/>
    <w:rsid w:val="00E273E8"/>
    <w:rsid w:val="00E43F00"/>
    <w:rsid w:val="00ED748C"/>
    <w:rsid w:val="00F04257"/>
    <w:rsid w:val="00F21786"/>
    <w:rsid w:val="00F42BCC"/>
    <w:rsid w:val="00FB6FC8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docId w15:val="{95751D11-B277-4DE7-8DAE-6CA7D98C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2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6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7141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D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36112"/>
    <w:pPr>
      <w:spacing w:line="256" w:lineRule="auto"/>
      <w:ind w:left="720"/>
      <w:contextualSpacing/>
    </w:pPr>
    <w:rPr>
      <w:lang w:val="ru-RU"/>
    </w:rPr>
  </w:style>
  <w:style w:type="character" w:styleId="aa">
    <w:name w:val="FollowedHyperlink"/>
    <w:basedOn w:val="a0"/>
    <w:uiPriority w:val="99"/>
    <w:semiHidden/>
    <w:unhideWhenUsed/>
    <w:rsid w:val="00DA1D7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E2F2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efault">
    <w:name w:val="Default"/>
    <w:rsid w:val="00FB6FC8"/>
    <w:pPr>
      <w:autoSpaceDE w:val="0"/>
      <w:autoSpaceDN w:val="0"/>
      <w:adjustRightInd w:val="0"/>
      <w:spacing w:after="0" w:line="240" w:lineRule="auto"/>
    </w:pPr>
    <w:rPr>
      <w:rFonts w:ascii="HeliosCond" w:hAnsi="HeliosCond" w:cs="HeliosCond"/>
      <w:color w:val="000000"/>
      <w:sz w:val="24"/>
      <w:szCs w:val="24"/>
      <w:lang w:val="ru-RU"/>
    </w:rPr>
  </w:style>
  <w:style w:type="character" w:customStyle="1" w:styleId="A10">
    <w:name w:val="A1"/>
    <w:uiPriority w:val="99"/>
    <w:rsid w:val="00FB6FC8"/>
    <w:rPr>
      <w:rFonts w:cs="HeliosCond"/>
      <w:b/>
      <w:bCs/>
      <w:color w:val="211D1E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razumkov.org.ua/statti/sektor-vidnovlyuvanoyi-energetyky-ukrayiny-do-pid-chas-ta-pislya-viyny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razumkov.org.ua/statti/sektor-vidnovlyuvanoyi-energetyky-ukrayiny-do-pid-chas-ta-pislya-viy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nbuv.gov.ua/UJRN/Nzizvru_2019_4_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ss.gov.ua/doslidzhennya/nacionalna-bezpeka/riziki-dlya-energetichnoi-bezpeki-globalniy-i-nacionalniy-aspek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oomberg.com/impact/products/bloombergnef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140</c:v>
                </c:pt>
                <c:pt idx="1">
                  <c:v>146</c:v>
                </c:pt>
                <c:pt idx="2">
                  <c:v>138</c:v>
                </c:pt>
                <c:pt idx="3">
                  <c:v>120</c:v>
                </c:pt>
                <c:pt idx="4">
                  <c:v>145</c:v>
                </c:pt>
                <c:pt idx="5">
                  <c:v>179</c:v>
                </c:pt>
                <c:pt idx="6">
                  <c:v>174</c:v>
                </c:pt>
                <c:pt idx="7">
                  <c:v>171</c:v>
                </c:pt>
                <c:pt idx="8">
                  <c:v>175</c:v>
                </c:pt>
                <c:pt idx="9">
                  <c:v>185</c:v>
                </c:pt>
                <c:pt idx="10">
                  <c:v>182</c:v>
                </c:pt>
                <c:pt idx="11">
                  <c:v>188</c:v>
                </c:pt>
                <c:pt idx="12">
                  <c:v>196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ВДЕ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75</c:v>
                </c:pt>
                <c:pt idx="1">
                  <c:v>80</c:v>
                </c:pt>
                <c:pt idx="2">
                  <c:v>84</c:v>
                </c:pt>
                <c:pt idx="3">
                  <c:v>86</c:v>
                </c:pt>
                <c:pt idx="4">
                  <c:v>111</c:v>
                </c:pt>
                <c:pt idx="5">
                  <c:v>125</c:v>
                </c:pt>
                <c:pt idx="6">
                  <c:v>121</c:v>
                </c:pt>
                <c:pt idx="7">
                  <c:v>125</c:v>
                </c:pt>
                <c:pt idx="8">
                  <c:v>130</c:v>
                </c:pt>
                <c:pt idx="9">
                  <c:v>129</c:v>
                </c:pt>
                <c:pt idx="10">
                  <c:v>132</c:v>
                </c:pt>
                <c:pt idx="11">
                  <c:v>140</c:v>
                </c:pt>
                <c:pt idx="12">
                  <c:v>146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Біогаз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50</c:v>
                </c:pt>
                <c:pt idx="1">
                  <c:v>55</c:v>
                </c:pt>
                <c:pt idx="2">
                  <c:v>59</c:v>
                </c:pt>
                <c:pt idx="3">
                  <c:v>57</c:v>
                </c:pt>
                <c:pt idx="4">
                  <c:v>60</c:v>
                </c:pt>
                <c:pt idx="5">
                  <c:v>53</c:v>
                </c:pt>
                <c:pt idx="6">
                  <c:v>65</c:v>
                </c:pt>
                <c:pt idx="7">
                  <c:v>64</c:v>
                </c:pt>
                <c:pt idx="8">
                  <c:v>72</c:v>
                </c:pt>
                <c:pt idx="9">
                  <c:v>70</c:v>
                </c:pt>
                <c:pt idx="10">
                  <c:v>69</c:v>
                </c:pt>
                <c:pt idx="11">
                  <c:v>76</c:v>
                </c:pt>
                <c:pt idx="12">
                  <c:v>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6</c:v>
                </c:pt>
                <c:pt idx="1">
                  <c:v>11</c:v>
                </c:pt>
                <c:pt idx="2">
                  <c:v>8</c:v>
                </c:pt>
                <c:pt idx="3">
                  <c:v>10</c:v>
                </c:pt>
                <c:pt idx="4">
                  <c:v>11</c:v>
                </c:pt>
                <c:pt idx="5">
                  <c:v>15</c:v>
                </c:pt>
                <c:pt idx="6">
                  <c:v>18</c:v>
                </c:pt>
                <c:pt idx="7">
                  <c:v>16</c:v>
                </c:pt>
                <c:pt idx="8">
                  <c:v>20</c:v>
                </c:pt>
                <c:pt idx="9">
                  <c:v>22</c:v>
                </c:pt>
                <c:pt idx="10">
                  <c:v>18</c:v>
                </c:pt>
                <c:pt idx="11">
                  <c:v>20</c:v>
                </c:pt>
                <c:pt idx="12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-2121522496"/>
        <c:axId val="-2121521952"/>
        <c:axId val="0"/>
      </c:bar3DChart>
      <c:catAx>
        <c:axId val="-212152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-2121521952"/>
        <c:crosses val="autoZero"/>
        <c:auto val="1"/>
        <c:lblAlgn val="ctr"/>
        <c:lblOffset val="100"/>
        <c:noMultiLvlLbl val="0"/>
      </c:catAx>
      <c:valAx>
        <c:axId val="-21215219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 sz="14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млрд</a:t>
                </a:r>
                <a:r>
                  <a:rPr lang="ru-RU" sz="14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. </a:t>
                </a:r>
                <a:r>
                  <a:rPr lang="en-US" sz="14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$</a:t>
                </a:r>
                <a:endParaRPr lang="ru-RU" sz="14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2986271452910493E-2"/>
              <c:y val="8.0289629493987671E-2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-2121522496"/>
        <c:crosses val="autoZero"/>
        <c:crossBetween val="between"/>
      </c:valAx>
      <c:spPr>
        <a:ln w="25400">
          <a:noFill/>
        </a:ln>
      </c:spPr>
    </c:plotArea>
    <c:legend>
      <c:legendPos val="b"/>
      <c:layout>
        <c:manualLayout>
          <c:xMode val="edge"/>
          <c:yMode val="edge"/>
          <c:x val="0.28895469588040623"/>
          <c:y val="0.89062015503875969"/>
          <c:w val="0.40968340913907508"/>
          <c:h val="6.286821705426357E-2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733486439195106E-2"/>
          <c:y val="9.6012343880014867E-2"/>
          <c:w val="0.76966225575969671"/>
          <c:h val="0.6873459590785352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ГЕС</c:v>
                </c:pt>
              </c:strCache>
            </c:strRef>
          </c:tx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2">
                  <c:v>2020</c:v>
                </c:pt>
                <c:pt idx="4">
                  <c:v>2025</c:v>
                </c:pt>
                <c:pt idx="6">
                  <c:v>2030</c:v>
                </c:pt>
                <c:pt idx="8">
                  <c:v>2035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3.9E-2</c:v>
                </c:pt>
                <c:pt idx="1">
                  <c:v>5.5E-2</c:v>
                </c:pt>
                <c:pt idx="2">
                  <c:v>4.4999999999999998E-2</c:v>
                </c:pt>
                <c:pt idx="3">
                  <c:v>4.8000000000000001E-2</c:v>
                </c:pt>
                <c:pt idx="4">
                  <c:v>0.05</c:v>
                </c:pt>
                <c:pt idx="5">
                  <c:v>5.5E-2</c:v>
                </c:pt>
                <c:pt idx="6">
                  <c:v>0.06</c:v>
                </c:pt>
                <c:pt idx="7">
                  <c:v>6.5000000000000002E-2</c:v>
                </c:pt>
                <c:pt idx="8">
                  <c:v>7.0000000000000007E-2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СЕС</c:v>
                </c:pt>
              </c:strCache>
            </c:strRef>
          </c:tx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2">
                  <c:v>2020</c:v>
                </c:pt>
                <c:pt idx="4">
                  <c:v>2025</c:v>
                </c:pt>
                <c:pt idx="6">
                  <c:v>2030</c:v>
                </c:pt>
                <c:pt idx="8">
                  <c:v>2035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7.0000000000000007E-2</c:v>
                </c:pt>
                <c:pt idx="1">
                  <c:v>6.7000000000000004E-2</c:v>
                </c:pt>
                <c:pt idx="2">
                  <c:v>6.4000000000000001E-2</c:v>
                </c:pt>
                <c:pt idx="3">
                  <c:v>6.3E-2</c:v>
                </c:pt>
                <c:pt idx="4">
                  <c:v>6.2E-2</c:v>
                </c:pt>
                <c:pt idx="5">
                  <c:v>6.0999999999999999E-2</c:v>
                </c:pt>
                <c:pt idx="6">
                  <c:v>0.06</c:v>
                </c:pt>
                <c:pt idx="7">
                  <c:v>5.8999999999999997E-2</c:v>
                </c:pt>
                <c:pt idx="8">
                  <c:v>5.5E-2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ВДЕ</c:v>
                </c:pt>
              </c:strCache>
            </c:strRef>
          </c:tx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2">
                  <c:v>2020</c:v>
                </c:pt>
                <c:pt idx="4">
                  <c:v>2025</c:v>
                </c:pt>
                <c:pt idx="6">
                  <c:v>2030</c:v>
                </c:pt>
                <c:pt idx="8">
                  <c:v>2035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0.15</c:v>
                </c:pt>
                <c:pt idx="1">
                  <c:v>0.1</c:v>
                </c:pt>
                <c:pt idx="2">
                  <c:v>8.5000000000000006E-2</c:v>
                </c:pt>
                <c:pt idx="3">
                  <c:v>7.4999999999999997E-2</c:v>
                </c:pt>
                <c:pt idx="4">
                  <c:v>7.4999999999999997E-2</c:v>
                </c:pt>
                <c:pt idx="5">
                  <c:v>0.06</c:v>
                </c:pt>
                <c:pt idx="6">
                  <c:v>6.2E-2</c:v>
                </c:pt>
                <c:pt idx="7">
                  <c:v>5.5E-2</c:v>
                </c:pt>
                <c:pt idx="8">
                  <c:v>0.05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121518688"/>
        <c:axId val="-2121523584"/>
      </c:lineChart>
      <c:catAx>
        <c:axId val="-212151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-2121523584"/>
        <c:crosses val="autoZero"/>
        <c:auto val="1"/>
        <c:lblAlgn val="ctr"/>
        <c:lblOffset val="100"/>
        <c:noMultiLvlLbl val="0"/>
      </c:catAx>
      <c:valAx>
        <c:axId val="-212152358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кВтч</a:t>
                </a:r>
              </a:p>
            </c:rich>
          </c:tx>
          <c:layout>
            <c:manualLayout>
              <c:xMode val="edge"/>
              <c:yMode val="edge"/>
              <c:x val="8.2815734989648039E-3"/>
              <c:y val="0.81066079975297201"/>
            </c:manualLayout>
          </c:layout>
          <c:overlay val="0"/>
        </c:title>
        <c:numFmt formatCode="#,##0.00_ ;[Red]\-#,##0.00\ 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-21215186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223243833651232E-2"/>
          <c:y val="0.14826483106102223"/>
          <c:w val="0.76913907500692846"/>
          <c:h val="0.7635254182000947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СЕС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0"/>
                  <c:y val="1.4090710893007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50</c:v>
                </c:pt>
                <c:pt idx="1">
                  <c:v>55</c:v>
                </c:pt>
                <c:pt idx="2">
                  <c:v>64</c:v>
                </c:pt>
                <c:pt idx="3">
                  <c:v>105</c:v>
                </c:pt>
                <c:pt idx="4">
                  <c:v>154</c:v>
                </c:pt>
                <c:pt idx="5">
                  <c:v>136</c:v>
                </c:pt>
                <c:pt idx="6">
                  <c:v>122</c:v>
                </c:pt>
                <c:pt idx="7">
                  <c:v>144</c:v>
                </c:pt>
                <c:pt idx="8">
                  <c:v>176</c:v>
                </c:pt>
                <c:pt idx="9">
                  <c:v>129</c:v>
                </c:pt>
                <c:pt idx="10">
                  <c:v>161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ВДЕ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2111801242236021E-3"/>
                  <c:y val="-7.0472163495419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8749454955769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8.1067481948539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5913546780740329E-17"/>
                  <c:y val="3.1722058153776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5913546780740329E-17"/>
                  <c:y val="2.1148038769184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5913546780740329E-17"/>
                  <c:y val="-1.4098692512789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2111801242236021E-3"/>
                  <c:y val="4.934542379476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55</c:v>
                </c:pt>
                <c:pt idx="1">
                  <c:v>75</c:v>
                </c:pt>
                <c:pt idx="2">
                  <c:v>80</c:v>
                </c:pt>
                <c:pt idx="3">
                  <c:v>105</c:v>
                </c:pt>
                <c:pt idx="4">
                  <c:v>86</c:v>
                </c:pt>
                <c:pt idx="5">
                  <c:v>85</c:v>
                </c:pt>
                <c:pt idx="6">
                  <c:v>90</c:v>
                </c:pt>
                <c:pt idx="7">
                  <c:v>105</c:v>
                </c:pt>
                <c:pt idx="8">
                  <c:v>124</c:v>
                </c:pt>
                <c:pt idx="9">
                  <c:v>118</c:v>
                </c:pt>
                <c:pt idx="10">
                  <c:v>107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Біомаса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2815734989648039E-3"/>
                  <c:y val="5.2840165848776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111801242236402E-3"/>
                  <c:y val="-2.8197385025578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407867494824393E-3"/>
                  <c:y val="-2.4672711897381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0393374741201E-3"/>
                  <c:y val="-1.7623365640986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5913546780740329E-17"/>
                  <c:y val="-1.4098692512789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5913546780740329E-17"/>
                  <c:y val="-1.7623365640986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47</c:v>
                </c:pt>
                <c:pt idx="1">
                  <c:v>36</c:v>
                </c:pt>
                <c:pt idx="2">
                  <c:v>24</c:v>
                </c:pt>
                <c:pt idx="3">
                  <c:v>28</c:v>
                </c:pt>
                <c:pt idx="4">
                  <c:v>31</c:v>
                </c:pt>
                <c:pt idx="5">
                  <c:v>22</c:v>
                </c:pt>
                <c:pt idx="6">
                  <c:v>18</c:v>
                </c:pt>
                <c:pt idx="7">
                  <c:v>10.6</c:v>
                </c:pt>
                <c:pt idx="8">
                  <c:v>10</c:v>
                </c:pt>
                <c:pt idx="9">
                  <c:v>8</c:v>
                </c:pt>
                <c:pt idx="10">
                  <c:v>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Інше</c:v>
                </c:pt>
              </c:strCache>
            </c:strRef>
          </c:tx>
          <c:marker>
            <c:symbol val="none"/>
          </c:marker>
          <c:dLbls>
            <c:dLbl>
              <c:idx val="7"/>
              <c:layout>
                <c:manualLayout>
                  <c:x val="-7.5913546780740329E-17"/>
                  <c:y val="-3.8749454955769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1407867494824774E-3"/>
                  <c:y val="-3.522677723251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2.070393374741201E-3"/>
                  <c:y val="-3.8749454955769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4.579481040227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9.5</c:v>
                </c:pt>
                <c:pt idx="1">
                  <c:v>10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9</c:v>
                </c:pt>
                <c:pt idx="6">
                  <c:v>8.8000000000000007</c:v>
                </c:pt>
                <c:pt idx="7">
                  <c:v>10</c:v>
                </c:pt>
                <c:pt idx="8">
                  <c:v>9.8000000000000007</c:v>
                </c:pt>
                <c:pt idx="9">
                  <c:v>7.2</c:v>
                </c:pt>
                <c:pt idx="10">
                  <c:v>5.4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2121517600"/>
        <c:axId val="-2121517056"/>
      </c:lineChart>
      <c:catAx>
        <c:axId val="-212151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-2121517056"/>
        <c:crosses val="autoZero"/>
        <c:auto val="1"/>
        <c:lblAlgn val="ctr"/>
        <c:lblOffset val="100"/>
        <c:noMultiLvlLbl val="0"/>
      </c:catAx>
      <c:valAx>
        <c:axId val="-212151705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</a:t>
                </a:r>
                <a:r>
                  <a:rPr lang="uk-UA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лр</a:t>
                </a: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д.</a:t>
                </a:r>
                <a:r>
                  <a:rPr lang="ru-RU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en-US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$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4.186502773302613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-21215176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801A-9191-4834-9630-3CF3FB84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4714</Words>
  <Characters>2688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Радіо Сергій Вікторович</dc:creator>
  <cp:lastModifiedBy>ПМП</cp:lastModifiedBy>
  <cp:revision>5</cp:revision>
  <dcterms:created xsi:type="dcterms:W3CDTF">2024-09-16T09:11:00Z</dcterms:created>
  <dcterms:modified xsi:type="dcterms:W3CDTF">2024-09-16T13:06:00Z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