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AF58" w14:textId="69D0D68B" w:rsidR="004C0BE9" w:rsidRDefault="004C0BE9" w:rsidP="00B21F3E">
      <w:pPr>
        <w:spacing w:after="0" w:line="276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kern w:val="0"/>
          <w:sz w:val="28"/>
          <w:szCs w:val="28"/>
          <w:lang w:val="en-US"/>
          <w14:ligatures w14:val="none"/>
        </w:rPr>
      </w:pPr>
      <w:r w:rsidRPr="004C0BE9">
        <w:rPr>
          <w:rFonts w:ascii="Times New Roman Полужирный" w:hAnsi="Times New Roman Полужирный" w:cs="Times New Roman"/>
          <w:b/>
          <w:bCs/>
          <w:caps/>
          <w:kern w:val="0"/>
          <w:sz w:val="28"/>
          <w:szCs w:val="28"/>
          <w:lang w:val="en-US"/>
          <w14:ligatures w14:val="none"/>
        </w:rPr>
        <w:t xml:space="preserve">Політика «зеленого» переходу </w:t>
      </w:r>
      <w:r w:rsidRPr="004C0BE9">
        <w:rPr>
          <w:rFonts w:ascii="Times New Roman Полужирный" w:hAnsi="Times New Roman Полужирный" w:cs="Times New Roman"/>
          <w:b/>
          <w:bCs/>
          <w:caps/>
          <w:kern w:val="0"/>
          <w:sz w:val="28"/>
          <w:szCs w:val="28"/>
          <w:lang w:val="en-US"/>
          <w14:ligatures w14:val="none"/>
        </w:rPr>
        <w:t>в країнах ЄС</w:t>
      </w:r>
      <w:r w:rsidRPr="004C0BE9">
        <w:rPr>
          <w:rFonts w:ascii="Times New Roman Полужирный" w:hAnsi="Times New Roman Полужирный" w:cs="Times New Roman"/>
          <w:b/>
          <w:bCs/>
          <w:caps/>
          <w:kern w:val="0"/>
          <w:sz w:val="28"/>
          <w:szCs w:val="28"/>
          <w:lang w:val="en-US"/>
          <w14:ligatures w14:val="none"/>
        </w:rPr>
        <w:t xml:space="preserve"> </w:t>
      </w:r>
    </w:p>
    <w:p w14:paraId="63E1F838" w14:textId="4828A91B" w:rsidR="004C0BE9" w:rsidRDefault="004C0BE9" w:rsidP="00B21F3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</w:t>
      </w:r>
      <w:r w:rsidRPr="004C0BE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рєхова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Т.В.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  <w:lang w:val="uk-UA"/>
          <w14:ligatures w14:val="none"/>
        </w:rPr>
        <w:t>1,*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Рябчин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О.М.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  <w:lang w:val="uk-UA"/>
          <w14:ligatures w14:val="none"/>
        </w:rPr>
        <w:t>2</w:t>
      </w:r>
    </w:p>
    <w:p w14:paraId="673744C4" w14:textId="497225D6" w:rsidR="004C0BE9" w:rsidRPr="004C0BE9" w:rsidRDefault="004C0BE9" w:rsidP="00B21F3E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r w:rsidRPr="004C0BE9">
        <w:rPr>
          <w:rFonts w:ascii="Times New Roman" w:hAnsi="Times New Roman" w:cs="Times New Roman"/>
          <w:i/>
          <w:iCs/>
          <w:kern w:val="0"/>
          <w:sz w:val="28"/>
          <w:szCs w:val="28"/>
          <w:vertAlign w:val="superscript"/>
          <w:lang w:val="uk-UA"/>
          <w14:ligatures w14:val="none"/>
        </w:rPr>
        <w:t>1</w:t>
      </w:r>
      <w:r w:rsidRPr="004C0BE9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Донецький національний університет імені Василя Стуса, Вінниця, Україна</w:t>
      </w:r>
    </w:p>
    <w:p w14:paraId="73266547" w14:textId="11611002" w:rsidR="004C0BE9" w:rsidRPr="004C0BE9" w:rsidRDefault="004C0BE9" w:rsidP="00B21F3E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</w:pPr>
      <w:r w:rsidRPr="004C0BE9">
        <w:rPr>
          <w:rFonts w:ascii="Times New Roman" w:hAnsi="Times New Roman" w:cs="Times New Roman"/>
          <w:i/>
          <w:iCs/>
          <w:kern w:val="0"/>
          <w:sz w:val="28"/>
          <w:szCs w:val="28"/>
          <w:vertAlign w:val="superscript"/>
          <w:lang w:val="uk-UA"/>
          <w14:ligatures w14:val="none"/>
        </w:rPr>
        <w:t>2</w:t>
      </w:r>
      <w:r w:rsidRPr="004C0BE9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Донецький національний університет імені Василя Стуса, Вінниця, Україна</w:t>
      </w:r>
    </w:p>
    <w:p w14:paraId="7CA73D5C" w14:textId="6F018B50" w:rsidR="004C0BE9" w:rsidRPr="004C0BE9" w:rsidRDefault="004C0BE9" w:rsidP="00B21F3E">
      <w:pPr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4C0B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4C0BE9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t</w:t>
      </w:r>
      <w:r w:rsidRPr="004C0BE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proofErr w:type="spellStart"/>
      <w:r w:rsidRPr="004C0BE9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oriekhova</w:t>
      </w:r>
      <w:proofErr w:type="spellEnd"/>
      <w:r w:rsidRPr="004C0BE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@</w:t>
      </w:r>
      <w:proofErr w:type="spellStart"/>
      <w:r w:rsidRPr="004C0BE9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donnu</w:t>
      </w:r>
      <w:proofErr w:type="spellEnd"/>
      <w:r w:rsidRPr="004C0BE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proofErr w:type="spellStart"/>
      <w:r w:rsidRPr="004C0BE9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edu</w:t>
      </w:r>
      <w:proofErr w:type="spellEnd"/>
      <w:r w:rsidRPr="004C0BE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proofErr w:type="spellStart"/>
      <w:r w:rsidRPr="004C0BE9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ua</w:t>
      </w:r>
      <w:proofErr w:type="spellEnd"/>
    </w:p>
    <w:p w14:paraId="116659BA" w14:textId="045E3688" w:rsidR="004C0BE9" w:rsidRPr="004C0BE9" w:rsidRDefault="004C0BE9" w:rsidP="00B21F3E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Програмним документом для формування національних, регіональних та місцевих стратегій у країнах ЄС на сьогодні є «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Territorial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Agenda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2030: 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future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for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all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places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» 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1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], який базується на висновках ESPON «Звіт про стан європейський територій» 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], ESPON «Європейська територіальна система відліку» 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3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] та Сьомій доповіді Європейської комісії про економічну, соціальну та територіальну згуртованість 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4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1EE58394" w14:textId="0DEB864D" w:rsidR="004C0BE9" w:rsidRPr="004C0BE9" w:rsidRDefault="004C0BE9" w:rsidP="004C0BE9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Територіальний Порядок денний враховує останні рамки політики та програми, зокрема Порядок денний сталого розвитку ООН на період до 2030 року 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5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 xml:space="preserve">]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та Цілі сталого розвитку 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7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, Паризьку угоду 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7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, Новий урбаністичний Порядок денний ООН 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8</w:t>
      </w:r>
      <w:r w:rsidRPr="004C0BE9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14:paraId="65F57637" w14:textId="77777777" w:rsidR="004C0BE9" w:rsidRPr="004C0BE9" w:rsidRDefault="004C0BE9" w:rsidP="004C0BE9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Територіальний Порядок денний підкреслює важливість і дає орієнтири для стратегічного просторового планування на всіх рівнях управління територіями.</w:t>
      </w:r>
    </w:p>
    <w:p w14:paraId="59CAAB3E" w14:textId="054885DA" w:rsidR="004C0BE9" w:rsidRPr="00B21F3E" w:rsidRDefault="004C0BE9" w:rsidP="00B21F3E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Територіальний Порядок денний до 2030 року визначає шість ключових пріоритетів та відповідних цілей: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Збалансована Європа: кращий збалансований територіальний розвиток, використовуючи різноманітності Європи</w:t>
      </w: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;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Функціональні регіони: конвергентний місцевий та регіональний розвиток, менша нерівність між місцями</w:t>
      </w: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;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Інтеграція поза кордони: легше жити та працювати через національні кордони</w:t>
      </w: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;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Здорове середовище: кращі екологічні засоби для існування, кліматично нейтральні та стійкі міста та регіони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Циркулярна економіка: сильна та стійка місцева економіка в глобалізованому світі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Стійкі зв’язки: стійкі цифрові та фізичні зв’язки місць</w:t>
      </w:r>
      <w:r w:rsidR="00B21F3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14:paraId="0A805FB6" w14:textId="1A105360" w:rsidR="004C0BE9" w:rsidRPr="004C0BE9" w:rsidRDefault="004C0BE9" w:rsidP="004C0B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Глибока стурбованість наслідками зміни клімату проходить червоною стрічкою через всі програмні документи розвитку територій в країнах ЄС. Причинами цього є прогнози </w:t>
      </w:r>
      <w:r w:rsidRPr="004C0BE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Міжурядової групи експертів зі зміни клімату (</w:t>
      </w:r>
      <w:r w:rsidRPr="004C0BE9">
        <w:rPr>
          <w:rFonts w:ascii="Times New Roman" w:hAnsi="Times New Roman" w:cs="Times New Roman"/>
          <w:color w:val="000000"/>
          <w:sz w:val="28"/>
          <w:szCs w:val="28"/>
          <w:lang w:val="en-US"/>
        </w:rPr>
        <w:t>IPCC</w:t>
      </w:r>
      <w:r w:rsidRPr="004C0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згідно з якими потепління в Європі продовжуватиме зростати швидше, ніж глобальне, що означає збільшення розбіжностей у ризиках у Європі в 21 столітті. </w:t>
      </w:r>
    </w:p>
    <w:p w14:paraId="79E4788B" w14:textId="764486EF" w:rsidR="004C0BE9" w:rsidRPr="004C0BE9" w:rsidRDefault="004C0BE9" w:rsidP="004C0B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0BE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Значні негативні наслідки прогнозуються для південних регіонів (наприклад, підвищені потреби в охолодженні та попит на воду, втрати в сільськогосподарському виробництві та дефіцит води). Короткострокові вигоди очікуються на півночі (наприклад, підвищення врожайності та зростання лісів).</w:t>
      </w:r>
    </w:p>
    <w:p w14:paraId="0320D0C8" w14:textId="2D3B1041" w:rsidR="004C0BE9" w:rsidRPr="004C0BE9" w:rsidRDefault="004C0BE9" w:rsidP="004C0BE9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>Паризька угода заклала фундамент програмних документів з розвитку територій у країнах Європи у сфері адаптації до зміни клімату та є юридично обов'язковим міжнародним договором.</w:t>
      </w:r>
    </w:p>
    <w:p w14:paraId="597AE35B" w14:textId="77777777" w:rsidR="004C0BE9" w:rsidRPr="004C0BE9" w:rsidRDefault="004C0BE9" w:rsidP="004C0BE9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/>
          <w:sz w:val="28"/>
          <w:szCs w:val="28"/>
          <w:lang w:val="uk-UA"/>
        </w:rPr>
        <w:t>У своїх NDC (національних внесках) країни повідомляють про дії, які вони вживатимуть для скорочення викидів парникових газів, щоб досягти цілей Паризької угоди. Країни також повідомляють у своїх NDC про дії, які вони вживатимуть для підвищення стійкості до наслідків зміни клімату.</w:t>
      </w:r>
    </w:p>
    <w:p w14:paraId="3CC1F3C6" w14:textId="5802135C" w:rsidR="004C0BE9" w:rsidRDefault="004C0BE9" w:rsidP="004C0BE9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Style w:val="fontstyle01"/>
          <w:rFonts w:ascii="Times New Roman" w:hAnsi="Times New Roman"/>
          <w:sz w:val="28"/>
          <w:szCs w:val="28"/>
          <w:lang w:val="uk-UA"/>
        </w:rPr>
        <w:t>Ще одним важливим програмним документом на шляху Європи до сталого розвитку стала Зелена угода (</w:t>
      </w:r>
      <w:r w:rsidRPr="004C0BE9">
        <w:rPr>
          <w:rStyle w:val="fontstyle01"/>
          <w:rFonts w:ascii="Times New Roman" w:hAnsi="Times New Roman"/>
          <w:sz w:val="28"/>
          <w:szCs w:val="28"/>
          <w:lang w:val="en-US"/>
        </w:rPr>
        <w:t>European</w:t>
      </w:r>
      <w:r w:rsidRPr="004C0BE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4C0BE9">
        <w:rPr>
          <w:rStyle w:val="fontstyle01"/>
          <w:rFonts w:ascii="Times New Roman" w:hAnsi="Times New Roman"/>
          <w:sz w:val="28"/>
          <w:szCs w:val="28"/>
          <w:lang w:val="en-US"/>
        </w:rPr>
        <w:t>Green</w:t>
      </w:r>
      <w:r w:rsidRPr="004C0BE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4C0BE9">
        <w:rPr>
          <w:rStyle w:val="fontstyle01"/>
          <w:rFonts w:ascii="Times New Roman" w:hAnsi="Times New Roman"/>
          <w:sz w:val="28"/>
          <w:szCs w:val="28"/>
          <w:lang w:val="en-US"/>
        </w:rPr>
        <w:t>Deal</w:t>
      </w:r>
      <w:r w:rsidRPr="004C0BE9">
        <w:rPr>
          <w:rStyle w:val="fontstyle01"/>
          <w:rFonts w:ascii="Times New Roman" w:hAnsi="Times New Roman"/>
          <w:sz w:val="28"/>
          <w:szCs w:val="28"/>
        </w:rPr>
        <w:t xml:space="preserve"> - </w:t>
      </w:r>
      <w:r w:rsidRPr="004C0BE9">
        <w:rPr>
          <w:rStyle w:val="fontstyle01"/>
          <w:rFonts w:ascii="Times New Roman" w:hAnsi="Times New Roman"/>
          <w:sz w:val="28"/>
          <w:szCs w:val="28"/>
          <w:lang w:val="en-US"/>
        </w:rPr>
        <w:t>EGD</w:t>
      </w:r>
      <w:r w:rsidRPr="004C0BE9">
        <w:rPr>
          <w:rStyle w:val="fontstyle01"/>
          <w:rFonts w:ascii="Times New Roman" w:hAnsi="Times New Roman"/>
          <w:sz w:val="28"/>
          <w:szCs w:val="28"/>
        </w:rPr>
        <w:t>) [</w:t>
      </w:r>
      <w:r w:rsidR="00B21F3E">
        <w:rPr>
          <w:rStyle w:val="fontstyle01"/>
          <w:rFonts w:ascii="Times New Roman" w:hAnsi="Times New Roman"/>
          <w:sz w:val="28"/>
          <w:szCs w:val="28"/>
          <w:lang w:val="uk-UA"/>
        </w:rPr>
        <w:t>9</w:t>
      </w:r>
      <w:r w:rsidRPr="004C0BE9">
        <w:rPr>
          <w:rStyle w:val="fontstyle01"/>
          <w:rFonts w:ascii="Times New Roman" w:hAnsi="Times New Roman"/>
          <w:sz w:val="28"/>
          <w:szCs w:val="28"/>
        </w:rPr>
        <w:t>]</w:t>
      </w:r>
      <w:r w:rsidRPr="004C0BE9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bookmarkStart w:id="0" w:name="_Hlk157370917"/>
      <w:r w:rsidRPr="004C0B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Зелена угода поєднує Цілі зеленого та справедливого переходу, оскільки вони спрямовані на боротьбу з нерівномірно розподіленими ефектами від енергетичного переходу, скорочення викидів парникових газів і впливу зміни клімату та інші екологічні проблеми. Вона спрямована на зміну клімату та виклики навколишнього середовища щодо можливостей для всіх місць і забезпечення справедливого та інклюзивного переходу для усіх. Таким чином, Європейська зелена угода пропонує можливість сприяти синергії між Територіальним порядком денним і головними стратегіями та політикою ЄС, що в свою чергу  має покращити різноманітний потенціал усіх місць та загальний територіальний баланс в Європі.</w:t>
      </w:r>
    </w:p>
    <w:p w14:paraId="5702C966" w14:textId="77777777" w:rsidR="00B21F3E" w:rsidRPr="00730FEB" w:rsidRDefault="00B21F3E" w:rsidP="00B21F3E">
      <w:pPr>
        <w:spacing w:after="0" w:line="276" w:lineRule="auto"/>
        <w:ind w:firstLine="567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EGD пропонує стабільний європейський контекст для місцевого та регіонального розвитку, процесу зеленого та цифрового переходу.</w:t>
      </w:r>
    </w:p>
    <w:p w14:paraId="20F52AE5" w14:textId="77777777" w:rsidR="00B21F3E" w:rsidRPr="00730FEB" w:rsidRDefault="00B21F3E" w:rsidP="00B21F3E">
      <w:pPr>
        <w:tabs>
          <w:tab w:val="left" w:pos="567"/>
        </w:tabs>
        <w:spacing w:after="0" w:line="276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Циркулярна економіка або економіка замкненого циклу (</w:t>
      </w:r>
      <w:proofErr w:type="spellStart"/>
      <w:r w:rsidRPr="00730FEB">
        <w:fldChar w:fldCharType="begin"/>
      </w:r>
      <w:r w:rsidRPr="00730FEB">
        <w:rPr>
          <w:lang w:val="uk-UA"/>
        </w:rPr>
        <w:instrText>HYPERLINK "https://uk.wikipedia.org/wiki/%D0%90%D0%BD%D0%B3%D0%BB%D1%96%D0%B9%D1%81%D1%8C%D0%BA%D0%B0_%D0%BC%D0%BE%D0%B2%D0%B0" \o "Англійська мова"</w:instrText>
      </w:r>
      <w:r w:rsidRPr="00730FEB">
        <w:fldChar w:fldCharType="separate"/>
      </w: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fldChar w:fldCharType="end"/>
      </w: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circular</w:t>
      </w:r>
      <w:proofErr w:type="spellEnd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closed-loop</w:t>
      </w:r>
      <w:proofErr w:type="spellEnd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) — </w:t>
      </w:r>
      <w:hyperlink r:id="rId5" w:tooltip="Економічна модель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модель економічного розвитку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що є альтернативною лінійній </w:t>
      </w:r>
      <w:hyperlink r:id="rId6" w:tooltip="Економіка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економіці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і яка передбачає відновлення, повторне використання, раціональне споживання </w:t>
      </w:r>
      <w:hyperlink r:id="rId7" w:tooltip="Ресурси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ресурсів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 дозволяє створити додаткову </w:t>
      </w:r>
      <w:hyperlink r:id="rId8" w:tooltip="Цінність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цінність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за допомогою нових послуг та інтелектуальних рішень. Циркулярна економіка спрямована, насамперед, на збереження </w:t>
      </w:r>
      <w:hyperlink r:id="rId9" w:tooltip="Енергія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енергії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економічно чисте </w:t>
      </w:r>
      <w:hyperlink r:id="rId10" w:tooltip="Виробництво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виробництво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та </w:t>
      </w:r>
      <w:hyperlink r:id="rId11" w:tooltip="Споживання" w:history="1">
        <w:r w:rsidRPr="00730FEB">
          <w:rPr>
            <w:rStyle w:val="fontstyle01"/>
            <w:rFonts w:ascii="Times New Roman" w:hAnsi="Times New Roman"/>
            <w:sz w:val="28"/>
            <w:szCs w:val="28"/>
            <w:lang w:val="uk-UA"/>
          </w:rPr>
          <w:t>споживання</w:t>
        </w:r>
      </w:hyperlink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</w:p>
    <w:p w14:paraId="285A916F" w14:textId="77777777" w:rsidR="00B21F3E" w:rsidRPr="002246EE" w:rsidRDefault="00B21F3E" w:rsidP="00B21F3E">
      <w:pPr>
        <w:spacing w:after="0" w:line="276" w:lineRule="auto"/>
        <w:ind w:firstLine="567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У березні 2020 року Європейська комісія прийняла новий План дій щодо економіки замкнутого циклу (CEAP). Він є одним із основних будівельних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>блоків Європейської зеленої угоди, нового порядку денного Європи щодо сталого зростання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2246EE">
        <w:rPr>
          <w:rStyle w:val="fontstyle01"/>
          <w:rFonts w:ascii="Times New Roman" w:hAnsi="Times New Roman"/>
          <w:sz w:val="28"/>
          <w:szCs w:val="28"/>
          <w:lang w:val="uk-UA"/>
        </w:rPr>
        <w:t>Перехід ЄС до циркулярної економіки зменшить тиск на природні ресурси та створить стійке зростання та робочі місця. Це також є передумовою для досягнення цілі ЄС щодо кліматичної нейтральності до 2050 року та зупинки втрати біорізноманіття.</w:t>
      </w:r>
    </w:p>
    <w:p w14:paraId="358A15D6" w14:textId="77777777" w:rsidR="00B21F3E" w:rsidRPr="00730FEB" w:rsidRDefault="00B21F3E" w:rsidP="00B21F3E">
      <w:pPr>
        <w:spacing w:after="0" w:line="276" w:lineRule="auto"/>
        <w:ind w:firstLine="567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Європейський Союз вже зробив необхідні кроки для забезпечення достатнього доступу до фінансових коштів, які мають цільовим призначенням впровадження EGD. Інвестиційний план EGD передбачає потоки фінансування на загальну суму 1 трлн. євро. У рамках цього плану Механізм справедливого переходу мобілізує щонайменше 100 мільйонів євро інвестицій у регіони, які </w:t>
      </w: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 xml:space="preserve">найбільше постраждали від зеленого та цифрового переходу. Використання банківських гарантій для залучення інших державних і приватних інвестицій є важливим компонентом інвестиційного плану EGD. </w:t>
      </w:r>
    </w:p>
    <w:p w14:paraId="0D7470F0" w14:textId="0E8AE7CD" w:rsidR="00B21F3E" w:rsidRPr="002246EE" w:rsidRDefault="00B21F3E" w:rsidP="00B21F3E">
      <w:pPr>
        <w:spacing w:after="0" w:line="276" w:lineRule="auto"/>
        <w:ind w:firstLine="567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730F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Виклики, на вирішення яких спрямовані програмні документи зі сталого розвитку територій країн ЄС, є актуальними і для України </w:t>
      </w:r>
    </w:p>
    <w:bookmarkEnd w:id="0"/>
    <w:p w14:paraId="6958706A" w14:textId="77777777" w:rsidR="004C0BE9" w:rsidRPr="00B21F3E" w:rsidRDefault="004C0BE9" w:rsidP="00B21F3E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4C0BE9">
        <w:rPr>
          <w:rFonts w:ascii="Times New Roman" w:hAnsi="Times New Roman"/>
          <w:b/>
          <w:bCs/>
          <w:color w:val="000000"/>
          <w:sz w:val="28"/>
          <w:szCs w:val="28"/>
        </w:rPr>
        <w:t>Література</w:t>
      </w:r>
      <w:proofErr w:type="spellEnd"/>
    </w:p>
    <w:p w14:paraId="4E386E76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(2020)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Agenda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2030 - A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places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5F2927D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ESPON (2019)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proofErr w:type="gram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Territory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Synthesis Report. ESPON contribution to the </w:t>
      </w:r>
      <w:proofErr w:type="gramStart"/>
      <w:r w:rsidRPr="004C0BE9">
        <w:rPr>
          <w:rFonts w:ascii="Times New Roman" w:hAnsi="Times New Roman" w:cs="Times New Roman"/>
          <w:sz w:val="28"/>
          <w:szCs w:val="28"/>
          <w:lang w:val="en-US"/>
        </w:rPr>
        <w:t>debate  on</w:t>
      </w:r>
      <w:proofErr w:type="gramEnd"/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 Cohesion Policy post 2020</w:t>
      </w:r>
    </w:p>
    <w:p w14:paraId="25EAA0C0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ESPON (2020) </w:t>
      </w:r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Reference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Framework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en-US"/>
        </w:rPr>
        <w:t>. Synthesis Report.</w:t>
      </w:r>
    </w:p>
    <w:p w14:paraId="3525A956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(2017)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Seventh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report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territorial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cohesion</w:t>
      </w:r>
      <w:proofErr w:type="spellEnd"/>
    </w:p>
    <w:p w14:paraId="00DE1BF1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United Nations (2015) </w:t>
      </w:r>
      <w:r w:rsidRPr="004C0BE9">
        <w:rPr>
          <w:rFonts w:ascii="Times New Roman" w:hAnsi="Times New Roman" w:cs="Times New Roman"/>
          <w:sz w:val="28"/>
          <w:szCs w:val="28"/>
          <w:lang w:val="uk-UA"/>
        </w:rPr>
        <w:t>TRANSFORMING OUR WORLD: THE 2030 AGENDA FOR SUSTAINABLE DEVELOPMENT</w:t>
      </w:r>
    </w:p>
    <w:p w14:paraId="63E29BE7" w14:textId="77777777" w:rsidR="004C0BE9" w:rsidRPr="004C0BE9" w:rsidRDefault="004C0BE9" w:rsidP="00B21F3E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United Nations (2015) 17 Goals for People, for Planet. URL: </w:t>
      </w:r>
      <w:hyperlink r:id="rId12" w:history="1">
        <w:r w:rsidRPr="004C0BE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https://www.un.org/sustainabledevelopment/development-agenda/</w:t>
        </w:r>
      </w:hyperlink>
    </w:p>
    <w:p w14:paraId="0783E555" w14:textId="77777777" w:rsidR="004C0BE9" w:rsidRPr="004C0BE9" w:rsidRDefault="004C0BE9" w:rsidP="00B21F3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ADOPTION OF THE PARIS AGREEMENT </w:t>
      </w:r>
      <w:r w:rsidRPr="004C0BE9">
        <w:rPr>
          <w:rFonts w:ascii="Times New Roman" w:hAnsi="Times New Roman" w:cs="Times New Roman"/>
          <w:sz w:val="28"/>
          <w:szCs w:val="28"/>
          <w:lang w:val="en-US"/>
        </w:rPr>
        <w:t xml:space="preserve">(2015) </w:t>
      </w:r>
      <w:hyperlink r:id="rId13" w:history="1">
        <w:r w:rsidRPr="004C0BE9">
          <w:rPr>
            <w:rFonts w:ascii="Times New Roman" w:hAnsi="Times New Roman" w:cs="Times New Roman"/>
            <w:sz w:val="28"/>
            <w:szCs w:val="28"/>
            <w:lang w:val="uk-UA"/>
          </w:rPr>
          <w:t>FCCC/CP/2015/L.9/Rev.1</w:t>
        </w:r>
      </w:hyperlink>
      <w:r w:rsidRPr="004C0BE9">
        <w:rPr>
          <w:rFonts w:ascii="Times New Roman" w:hAnsi="Times New Roman" w:cs="Times New Roman"/>
          <w:i/>
          <w:iCs/>
          <w:sz w:val="28"/>
          <w:szCs w:val="28"/>
          <w:lang w:val="uk-UA"/>
        </w:rPr>
        <w:t>  </w:t>
      </w:r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UNFCCC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secretariat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A01A8D8" w14:textId="77777777" w:rsidR="004C0BE9" w:rsidRPr="004C0BE9" w:rsidRDefault="004C0BE9" w:rsidP="00B21F3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Urban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Agenda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UN</w:t>
      </w:r>
      <w:r w:rsidRPr="004C0BE9">
        <w:rPr>
          <w:rFonts w:ascii="Times New Roman" w:hAnsi="Times New Roman" w:cs="Times New Roman"/>
          <w:sz w:val="28"/>
          <w:szCs w:val="28"/>
          <w:lang w:val="en-US"/>
        </w:rPr>
        <w:t>. URL: https://unhabitat.org/about-us/new-urban-agenda</w:t>
      </w:r>
    </w:p>
    <w:p w14:paraId="02A2C965" w14:textId="77777777" w:rsidR="004C0BE9" w:rsidRPr="004C0BE9" w:rsidRDefault="004C0BE9" w:rsidP="00B21F3E">
      <w:pPr>
        <w:pStyle w:val="a7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(2019),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E9">
        <w:rPr>
          <w:rFonts w:ascii="Times New Roman" w:hAnsi="Times New Roman" w:cs="Times New Roman"/>
          <w:sz w:val="28"/>
          <w:szCs w:val="28"/>
          <w:lang w:val="uk-UA"/>
        </w:rPr>
        <w:t>Deal</w:t>
      </w:r>
      <w:proofErr w:type="spellEnd"/>
      <w:r w:rsidRPr="004C0BE9">
        <w:rPr>
          <w:rFonts w:ascii="Times New Roman" w:hAnsi="Times New Roman" w:cs="Times New Roman"/>
          <w:sz w:val="28"/>
          <w:szCs w:val="28"/>
          <w:lang w:val="uk-UA"/>
        </w:rPr>
        <w:t xml:space="preserve">, COM(2019) </w:t>
      </w:r>
    </w:p>
    <w:p w14:paraId="6C6BDFA5" w14:textId="77777777" w:rsidR="004C0BE9" w:rsidRPr="004C0BE9" w:rsidRDefault="004C0BE9" w:rsidP="00B21F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9CFB00" w14:textId="77777777" w:rsidR="00801476" w:rsidRPr="004C0BE9" w:rsidRDefault="00801476" w:rsidP="00B21F3E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</w:p>
    <w:sectPr w:rsidR="00801476" w:rsidRPr="004C0BE9" w:rsidSect="00B21F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F0E"/>
    <w:multiLevelType w:val="hybridMultilevel"/>
    <w:tmpl w:val="5DA27FF2"/>
    <w:lvl w:ilvl="0" w:tplc="AC2A5FDE">
      <w:numFmt w:val="bullet"/>
      <w:lvlText w:val="-"/>
      <w:lvlJc w:val="left"/>
      <w:pPr>
        <w:ind w:left="13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B346C7D"/>
    <w:multiLevelType w:val="hybridMultilevel"/>
    <w:tmpl w:val="095EC2E4"/>
    <w:lvl w:ilvl="0" w:tplc="820A22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97C26B2"/>
    <w:multiLevelType w:val="hybridMultilevel"/>
    <w:tmpl w:val="82568C5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597FBA"/>
    <w:multiLevelType w:val="hybridMultilevel"/>
    <w:tmpl w:val="82568C50"/>
    <w:lvl w:ilvl="0" w:tplc="5ED8F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0840225">
    <w:abstractNumId w:val="1"/>
  </w:num>
  <w:num w:numId="2" w16cid:durableId="950086160">
    <w:abstractNumId w:val="0"/>
  </w:num>
  <w:num w:numId="3" w16cid:durableId="1287738361">
    <w:abstractNumId w:val="3"/>
  </w:num>
  <w:num w:numId="4" w16cid:durableId="92434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E9"/>
    <w:rsid w:val="0021052E"/>
    <w:rsid w:val="00290741"/>
    <w:rsid w:val="004C0BE9"/>
    <w:rsid w:val="005C15B2"/>
    <w:rsid w:val="00801476"/>
    <w:rsid w:val="00927038"/>
    <w:rsid w:val="00A56FB2"/>
    <w:rsid w:val="00B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651"/>
  <w15:chartTrackingRefBased/>
  <w15:docId w15:val="{53A698A5-7381-4AA0-BA19-6DAF8098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E9"/>
  </w:style>
  <w:style w:type="paragraph" w:styleId="1">
    <w:name w:val="heading 1"/>
    <w:basedOn w:val="a"/>
    <w:next w:val="a"/>
    <w:link w:val="10"/>
    <w:uiPriority w:val="9"/>
    <w:qFormat/>
    <w:rsid w:val="004C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B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B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B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B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B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B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B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B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B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B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0BE9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4C0BE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Hyperlink"/>
    <w:basedOn w:val="a0"/>
    <w:uiPriority w:val="99"/>
    <w:unhideWhenUsed/>
    <w:rsid w:val="004C0BE9"/>
    <w:rPr>
      <w:color w:val="467886" w:themeColor="hyperlink"/>
      <w:u w:val="single"/>
    </w:rPr>
  </w:style>
  <w:style w:type="paragraph" w:customStyle="1" w:styleId="oj-doc-ti">
    <w:name w:val="oj-doc-ti"/>
    <w:basedOn w:val="a"/>
    <w:rsid w:val="004C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1%96%D0%BD%D0%BD%D1%96%D1%81%D1%82%D1%8C" TargetMode="External"/><Relationship Id="rId13" Type="http://schemas.openxmlformats.org/officeDocument/2006/relationships/hyperlink" Target="http://unfccc.int/resource/docs/2015/cop21/eng/l09r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0%D0%B5%D1%81%D1%83%D1%80%D1%81%D0%B8" TargetMode="External"/><Relationship Id="rId12" Type="http://schemas.openxmlformats.org/officeDocument/2006/relationships/hyperlink" Target="https://www.un.org/sustainabledevelopment/development-agen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5%D0%BA%D0%BE%D0%BD%D0%BE%D0%BC%D1%96%D0%BA%D0%B0" TargetMode="External"/><Relationship Id="rId11" Type="http://schemas.openxmlformats.org/officeDocument/2006/relationships/hyperlink" Target="https://uk.wikipedia.org/wiki/%D0%A1%D0%BF%D0%BE%D0%B6%D0%B8%D0%B2%D0%B0%D0%BD%D0%BD%D1%8F" TargetMode="External"/><Relationship Id="rId5" Type="http://schemas.openxmlformats.org/officeDocument/2006/relationships/hyperlink" Target="https://uk.wikipedia.org/wiki/%D0%95%D0%BA%D0%BE%D0%BD%D0%BE%D0%BC%D1%96%D1%87%D0%BD%D0%B0_%D0%BC%D0%BE%D0%B4%D0%B5%D0%BB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2%D0%B8%D1%80%D0%BE%D0%B1%D0%BD%D0%B8%D1%86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5%D0%BD%D0%B5%D1%80%D0%B3%D1%96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2024-09-14T20:04:00Z</dcterms:created>
  <dcterms:modified xsi:type="dcterms:W3CDTF">2024-09-14T20:25:00Z</dcterms:modified>
</cp:coreProperties>
</file>