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D38F" w14:textId="77777777" w:rsidR="00490087" w:rsidRDefault="00192C9B" w:rsidP="003C2E33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  <w:lang w:val="uk-UA"/>
        </w:rPr>
      </w:pPr>
      <w:r w:rsidRPr="00DA6926">
        <w:rPr>
          <w:rFonts w:ascii="point, bold" w:hAnsi="point, bold" w:cs="Times New Roman"/>
          <w:b/>
          <w:bCs/>
          <w:sz w:val="28"/>
          <w:szCs w:val="28"/>
          <w:lang w:val="uk-UA"/>
        </w:rPr>
        <w:t xml:space="preserve">ДЕРЖАВНО-ПРИВАТНЕ ПАРТНЕРСТВО У ПОВОЄННИЙ ЧАС, </w:t>
      </w:r>
    </w:p>
    <w:p w14:paraId="61385D75" w14:textId="7B77D57B" w:rsidR="00192C9B" w:rsidRPr="00DA6926" w:rsidRDefault="00192C9B" w:rsidP="003C2E33">
      <w:pPr>
        <w:spacing w:after="0"/>
        <w:jc w:val="center"/>
        <w:rPr>
          <w:rFonts w:ascii="point, bold" w:hAnsi="point, bold" w:cs="Times New Roman"/>
          <w:b/>
          <w:bCs/>
          <w:sz w:val="28"/>
          <w:szCs w:val="28"/>
          <w:lang w:val="en-US"/>
        </w:rPr>
      </w:pPr>
      <w:r w:rsidRPr="00DA6926">
        <w:rPr>
          <w:rFonts w:ascii="point, bold" w:hAnsi="point, bold" w:cs="Times New Roman"/>
          <w:b/>
          <w:bCs/>
          <w:sz w:val="28"/>
          <w:szCs w:val="28"/>
          <w:lang w:val="uk-UA"/>
        </w:rPr>
        <w:t>У КОНТЕКСТІ УДОСКОНАЛЕННЯ ОБІЗНАНОСТІ НАСЕЛЕННЯ</w:t>
      </w:r>
    </w:p>
    <w:p w14:paraId="264329E1" w14:textId="77777777" w:rsidR="00DA6926" w:rsidRDefault="00117D86" w:rsidP="003C2E33">
      <w:pPr>
        <w:spacing w:after="0"/>
        <w:ind w:leftChars="100" w:left="220"/>
        <w:jc w:val="right"/>
        <w:rPr>
          <w:rFonts w:ascii="italic" w:eastAsia="SimSun" w:hAnsi="italic" w:cs="Times New Roman"/>
          <w:sz w:val="28"/>
          <w:szCs w:val="28"/>
          <w:lang w:val="en-US"/>
        </w:rPr>
      </w:pPr>
      <w:r w:rsidRPr="00DA6926">
        <w:rPr>
          <w:rFonts w:ascii="point, bold" w:eastAsia="SimSun" w:hAnsi="point, bold" w:cs="Times New Roman"/>
          <w:sz w:val="28"/>
          <w:szCs w:val="28"/>
          <w:lang w:val="uk-UA"/>
        </w:rPr>
        <w:t>Тесля А.В.,</w:t>
      </w:r>
      <w:r w:rsidRPr="007378AC">
        <w:rPr>
          <w:rFonts w:ascii="italic" w:eastAsia="SimSun" w:hAnsi="italic" w:cs="Times New Roman"/>
          <w:sz w:val="28"/>
          <w:szCs w:val="28"/>
          <w:lang w:val="uk-UA"/>
        </w:rPr>
        <w:t xml:space="preserve"> </w:t>
      </w:r>
    </w:p>
    <w:p w14:paraId="3EDFA4A1" w14:textId="4CBA6861" w:rsidR="001472DD" w:rsidRPr="00025EDE" w:rsidRDefault="00117D86" w:rsidP="003C2E33">
      <w:pPr>
        <w:spacing w:after="0"/>
        <w:ind w:leftChars="100" w:left="220"/>
        <w:jc w:val="right"/>
        <w:rPr>
          <w:rFonts w:ascii="point, italic" w:eastAsia="SimSun" w:hAnsi="point, italic" w:cs="Times New Roman"/>
          <w:sz w:val="28"/>
          <w:szCs w:val="28"/>
          <w:lang w:val="uk-UA"/>
        </w:rPr>
      </w:pPr>
      <w:r w:rsidRPr="00025EDE">
        <w:rPr>
          <w:rFonts w:ascii="point, italic" w:eastAsia="SimSun" w:hAnsi="point, italic" w:cs="Times New Roman"/>
          <w:sz w:val="28"/>
          <w:szCs w:val="28"/>
          <w:lang w:val="uk-UA"/>
        </w:rPr>
        <w:t>Донецький  національний  університет імені Василя Стуса</w:t>
      </w:r>
      <w:r w:rsidR="00F06513" w:rsidRPr="00025EDE">
        <w:rPr>
          <w:rFonts w:ascii="point, italic" w:eastAsia="SimSun" w:hAnsi="point, italic" w:cs="Times New Roman"/>
          <w:sz w:val="28"/>
          <w:szCs w:val="28"/>
          <w:lang w:val="en-US"/>
        </w:rPr>
        <w:t xml:space="preserve"> </w:t>
      </w:r>
    </w:p>
    <w:p w14:paraId="6957C7C8" w14:textId="77777777" w:rsidR="001472DD" w:rsidRPr="001472DD" w:rsidRDefault="001472DD" w:rsidP="003C2E33">
      <w:pPr>
        <w:spacing w:after="0"/>
        <w:ind w:leftChars="100" w:left="220"/>
        <w:jc w:val="right"/>
        <w:rPr>
          <w:rFonts w:ascii="Times New Roman" w:eastAsia="SimSun" w:hAnsi="Times New Roman" w:cs="Times New Roman"/>
          <w:sz w:val="28"/>
          <w:szCs w:val="28"/>
          <w:lang w:val="uk-UA"/>
        </w:rPr>
      </w:pPr>
      <w:hyperlink r:id="rId7" w:history="1">
        <w:r w:rsidRPr="001472DD">
          <w:rPr>
            <w:rStyle w:val="ac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м. Вінниця</w:t>
        </w:r>
      </w:hyperlink>
      <w:r w:rsidR="00F06513" w:rsidRPr="001472DD">
        <w:rPr>
          <w:rFonts w:ascii="Times New Roman" w:eastAsia="SimSun" w:hAnsi="Times New Roman" w:cs="Times New Roman"/>
          <w:sz w:val="28"/>
          <w:szCs w:val="28"/>
          <w:lang w:val="uk-UA"/>
        </w:rPr>
        <w:t>,</w:t>
      </w:r>
      <w:r w:rsidRPr="001472D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="00F06513" w:rsidRPr="001472D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Україна </w:t>
      </w:r>
    </w:p>
    <w:p w14:paraId="15655687" w14:textId="665BC314" w:rsidR="00117D86" w:rsidRPr="001472DD" w:rsidRDefault="00204E43" w:rsidP="003C2E33">
      <w:pPr>
        <w:spacing w:after="0"/>
        <w:ind w:leftChars="100" w:left="220"/>
        <w:jc w:val="right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1472DD">
        <w:rPr>
          <w:rFonts w:ascii="Times New Roman" w:eastAsia="SimSun" w:hAnsi="Times New Roman" w:cs="Times New Roman"/>
          <w:sz w:val="28"/>
          <w:szCs w:val="28"/>
        </w:rPr>
        <w:t>a.teslia@donnu.edu.ua</w:t>
      </w:r>
    </w:p>
    <w:p w14:paraId="792DCE68" w14:textId="77777777" w:rsidR="00DB3E85" w:rsidRPr="00204E43" w:rsidRDefault="00DB3E85" w:rsidP="003C2E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6630D0" w14:textId="77777777" w:rsidR="00192C9B" w:rsidRPr="00CA5B46" w:rsidRDefault="00192C9B" w:rsidP="003C2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98B08FC" w14:textId="77777777" w:rsidR="00A149F5" w:rsidRPr="00906027" w:rsidRDefault="005A44A6" w:rsidP="003C2E33">
      <w:pPr>
        <w:spacing w:after="0"/>
        <w:ind w:firstLine="709"/>
        <w:jc w:val="both"/>
        <w:rPr>
          <w:rFonts w:ascii="point" w:hAnsi="point" w:cs="Times New Roman"/>
          <w:sz w:val="28"/>
          <w:szCs w:val="28"/>
          <w:lang w:val="uk-UA"/>
        </w:rPr>
      </w:pPr>
      <w:bookmarkStart w:id="0" w:name="_Hlk152058726"/>
      <w:bookmarkStart w:id="1" w:name="_Hlk152058894"/>
      <w:bookmarkStart w:id="2" w:name="_Hlk150904733"/>
      <w:r w:rsidRPr="00906027">
        <w:rPr>
          <w:rFonts w:ascii="point" w:hAnsi="point" w:cs="Times New Roman"/>
          <w:sz w:val="28"/>
          <w:szCs w:val="28"/>
          <w:lang w:val="uk-UA"/>
        </w:rPr>
        <w:t xml:space="preserve">Унаслідок збройної агресії </w:t>
      </w:r>
      <w:proofErr w:type="spellStart"/>
      <w:r w:rsidRPr="00906027">
        <w:rPr>
          <w:rFonts w:ascii="point" w:hAnsi="point" w:cs="Times New Roman"/>
          <w:sz w:val="28"/>
          <w:szCs w:val="28"/>
          <w:lang w:val="uk-UA"/>
        </w:rPr>
        <w:t>росії</w:t>
      </w:r>
      <w:proofErr w:type="spellEnd"/>
      <w:r w:rsidRPr="00906027">
        <w:rPr>
          <w:rFonts w:ascii="point" w:hAnsi="point" w:cs="Times New Roman"/>
          <w:sz w:val="28"/>
          <w:szCs w:val="28"/>
          <w:lang w:val="uk-UA"/>
        </w:rPr>
        <w:t xml:space="preserve"> проти України розвиток державно-приватного партнерства зазнав значних ускладнень, що є типовою проблемою для країн, які переживають чи пережили воєнні конфлікти. Україна наразі перебуває у періоді складних випробувань. Значна частина  територіальних громад були вимушені переселитися у більш безпечніші регіони і позбавлені можливості повноцінно виконувати свої обов’язки. В таких умовах взаємодія між державними та приватними суб'єктами у межах державно-приватного партнерства розглядається як важливий чинник розвитку суспільства та відновлення країни, що, у свою чергу, сприяє соціально-економічному прогресу в цілому. </w:t>
      </w:r>
    </w:p>
    <w:p w14:paraId="7970892B" w14:textId="77777777" w:rsidR="00A149F5" w:rsidRPr="00906027" w:rsidRDefault="005A44A6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sz w:val="28"/>
          <w:szCs w:val="28"/>
          <w:lang w:val="uk-UA"/>
        </w:rPr>
        <w:t>Розвиток та ефективне функціонування державно-приватного партнерства вимагає високого рівня обізнаності та активної участі як державних інституцій, так і приватного сектору.</w:t>
      </w:r>
    </w:p>
    <w:p w14:paraId="673F93F6" w14:textId="77777777" w:rsidR="006E1092" w:rsidRPr="00906027" w:rsidRDefault="005A44A6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sz w:val="28"/>
          <w:szCs w:val="28"/>
          <w:lang w:val="uk-UA"/>
        </w:rPr>
        <w:t>Актуальність теми зумовлена необхідністю відновлення і розвитку держави у повоєнний час. Державно-приватне партнерство може бути потужним інструментом для цього процесу, однак його успішне впровадження залежить від рівня обізнаності суспільства та бажання до співпраці з боку державних органів і бізнес-спільноти.</w:t>
      </w:r>
    </w:p>
    <w:p w14:paraId="0CD37101" w14:textId="77777777" w:rsidR="006E1092" w:rsidRPr="00906027" w:rsidRDefault="005A44A6" w:rsidP="003C2E33">
      <w:pPr>
        <w:spacing w:after="0"/>
        <w:ind w:firstLine="709"/>
        <w:jc w:val="both"/>
        <w:rPr>
          <w:rFonts w:ascii="point" w:hAnsi="point" w:cs="Times New Roman"/>
          <w:sz w:val="28"/>
          <w:szCs w:val="28"/>
          <w:lang w:val="uk-UA"/>
        </w:rPr>
      </w:pPr>
      <w:r w:rsidRPr="00906027">
        <w:rPr>
          <w:rFonts w:ascii="point" w:hAnsi="point" w:cs="Times New Roman"/>
          <w:sz w:val="28"/>
          <w:szCs w:val="28"/>
          <w:lang w:val="uk-UA"/>
        </w:rPr>
        <w:t xml:space="preserve">Метою дослідження є аналіз розвитку 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державно-приватного партнерства, як сучасного інституту публічної політики</w:t>
      </w:r>
      <w:r w:rsidRPr="00906027">
        <w:rPr>
          <w:rFonts w:ascii="point" w:hAnsi="point" w:cs="Times New Roman"/>
          <w:sz w:val="28"/>
          <w:szCs w:val="28"/>
          <w:lang w:val="uk-UA"/>
        </w:rPr>
        <w:t xml:space="preserve"> у повоєнний період, із особливою увагою до підвищення обізнаності населення як ключового чинника у цьому процесі. </w:t>
      </w:r>
    </w:p>
    <w:p w14:paraId="4ABCB2A0" w14:textId="0D1C2C12" w:rsidR="005A44A6" w:rsidRPr="00906027" w:rsidRDefault="005A44A6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sz w:val="28"/>
          <w:szCs w:val="28"/>
          <w:lang w:val="uk-UA"/>
        </w:rPr>
        <w:t>Наукова та нормативна база, досліджена в попередніх працях, слугує основою для виявлення актуальних проблем, що потребують додаткового аналізу та вирішення в умовах сучасних викликів.</w:t>
      </w:r>
    </w:p>
    <w:p w14:paraId="38BFC9A5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Розглянуті основоположні міжнародні та національні документи такі, як: ЗДПЛ [1], Європейська конвенція 1950 року [2],   Конституція України [3], Закон України </w:t>
      </w:r>
      <w:r w:rsidRPr="00906027">
        <w:rPr>
          <w:rFonts w:ascii="point" w:eastAsia="SimSun" w:hAnsi="point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№ 2404-VI 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[4]. </w:t>
      </w:r>
      <w:bookmarkStart w:id="3" w:name="_Hlk151711871"/>
    </w:p>
    <w:p w14:paraId="30A78F1E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lastRenderedPageBreak/>
        <w:t xml:space="preserve">Проаналізовані роботи </w:t>
      </w:r>
      <w:r w:rsidRPr="00906027">
        <w:rPr>
          <w:rFonts w:ascii="point" w:hAnsi="point"/>
          <w:color w:val="000000" w:themeColor="text1"/>
          <w:sz w:val="28"/>
          <w:szCs w:val="28"/>
          <w:lang w:val="uk-UA"/>
        </w:rPr>
        <w:t xml:space="preserve">С.  А. Квітка  [5],  В.  В.  Круглова [6]. Варто зазначити, що О.М. Крупа [7], у своїй монографії, аналізує світовий досвід державно-приватного партнерства та шляхи його впровадження в Україні .   </w:t>
      </w:r>
      <w:bookmarkEnd w:id="3"/>
    </w:p>
    <w:p w14:paraId="272A3303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</w:t>
      </w:r>
      <w:bookmarkEnd w:id="0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Слушно підкреслити, що детальне вивчення, аналіз, запровадження  позитивного міжнародного практичного досвіду є важливим  в Україні, а введення міжнародного партнерства є величезним кроком розвитку держави у повоєнний період.</w:t>
      </w:r>
    </w:p>
    <w:bookmarkEnd w:id="1"/>
    <w:p w14:paraId="18F3CE03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Теоретико-правовий аналіз та вивчення засад дослідження державно-приватного партнерства, надає змогу виявити актуальні проблеми в цій сфері та запропонувати шляхи їх вирішення в майбутньому, завдяки детальному аналізу.</w:t>
      </w:r>
    </w:p>
    <w:bookmarkEnd w:id="2"/>
    <w:p w14:paraId="5C330D59" w14:textId="77777777" w:rsidR="00192C9B" w:rsidRPr="00906027" w:rsidRDefault="00192C9B" w:rsidP="003C2E33">
      <w:pPr>
        <w:spacing w:after="0"/>
        <w:ind w:firstLine="709"/>
        <w:jc w:val="both"/>
        <w:rPr>
          <w:rFonts w:ascii="point" w:eastAsia="Arial" w:hAnsi="point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На основі вивчення систематизації досліджень, пропозицією є розроблення програми розвитку державно-приватного партнерство післявоєнного періоду  в Україні та детальне ознайомлення і вивчення міжнародного досвіду у майбутніх дослідженнях для впровадження позитивних аспектів в практичну діяльність на території нашої держави. Вважаємо, що важливим є обмін зарубіжним досвідом, а міжнародна співпраця  покращить роботу державних органів та приватних осіб, врахувавши всі  негативні обставини та проблеми.</w:t>
      </w:r>
    </w:p>
    <w:p w14:paraId="2D93FB61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Варто підкреслити, що необхідні спеціальні заходи розвитку, які покращать взаємодію, у </w:t>
      </w:r>
      <w:proofErr w:type="spellStart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повоєвоєнний</w:t>
      </w:r>
      <w:proofErr w:type="spellEnd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період. Важливою є авторська програма для удосконалення обізнаності суспільства щодо дослідження державно-приватного партнерства. Можна виділити основні фундаментальні завдання, а саме: </w:t>
      </w:r>
    </w:p>
    <w:p w14:paraId="211F8F3B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інформаційне забезпечення державних службовців та населення (організація окремого загального спеціального інтернет сайту та телефону довідки, що проводить роз’яснення щодо етапів державно-приватного партнерства, основною  функцією  є надання консультацій);</w:t>
      </w:r>
    </w:p>
    <w:p w14:paraId="52C69FDA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контроль окремих державних органів шляхом анкетування учасників партнерства (анкетування учасників  державно-приватного партнерства, з метою виявлення основних проблем та врегулювання нормативної бази для їх вирішення); </w:t>
      </w:r>
    </w:p>
    <w:p w14:paraId="28EF4ABC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покращення обізнаності державних службовців та суспільства загалом, щодо державно-приватного партнерства  (проведення конференцій, круглих столів, навчальних тренінгів);</w:t>
      </w:r>
    </w:p>
    <w:p w14:paraId="7F12CE48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підлаштування розвитку реалізації партнерства під норми повоєнного часу (створення наукових праць та  законодавства, враховуючи ситуацію в країні у повоєнний період).</w:t>
      </w:r>
    </w:p>
    <w:p w14:paraId="0F80A502" w14:textId="66E0EE66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lastRenderedPageBreak/>
        <w:t xml:space="preserve"> Авторська програма удосконалення обізнаності суспільства, щодо дослідження державно-приватного партнерства потребує подальшого  удосконалення для реалізації в практичній діяльності.  </w:t>
      </w:r>
      <w:r w:rsidR="00095DAE"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ЇЇ подальша реалізація 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</w:t>
      </w:r>
      <w:r w:rsidR="00095DAE"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сприятиме 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</w:t>
      </w:r>
      <w:r w:rsidR="00876579"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покращенню обізнаності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 щодо сучасних етапів розвитку держави та позитивно вплине на покращення життя.  </w:t>
      </w:r>
    </w:p>
    <w:p w14:paraId="5546F326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Провівши дослідження  та вивчивши теоретичну базу, слушно зазначити, що важливо аналізувати та знаходити шляхи розв’язання основних проблем сучасності, у сфері державно-приватного партнерства. Важливим та актуальним є теоретичний аналіз не тільки робіт вітчизняних вчених, а й необхідно досліджувати праці міжнародних науковців та виокремлювати позитивні практичні аспекти для впровадження в Україні. </w:t>
      </w:r>
    </w:p>
    <w:p w14:paraId="1DEAE634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В результаті теоретичного  аналізу запропоновані важливі для майбутнього розвитку  авторські пропозиції, у вигляді програми удосконалення обізнаності суспільства, щодо дослідження державно-приватного партнерства та внесено пропозицію розширити її  в майбутньому та застосовувати на практиці. Наголошено на необхідності вивчення міжнародного досвіду та реалізації позитивних аспектів в практичній діяльності в Україні. Міжнародне партнерство у цій галузі дасть змогу обмінюватися досвідом та  впроваджувати позитивну практику в  нашій державі.</w:t>
      </w:r>
    </w:p>
    <w:p w14:paraId="578E13DC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eastAsia="Arial" w:hAnsi="point" w:cs="Times New Roman"/>
          <w:color w:val="000000" w:themeColor="text1"/>
          <w:sz w:val="28"/>
          <w:szCs w:val="28"/>
          <w:shd w:val="clear" w:color="auto" w:fill="FFFFFF"/>
          <w:lang w:val="uk-UA"/>
        </w:rPr>
        <w:t>Пропозицією є підлаштування нормативної бази під повоєнні роки та створення окремого органу та сайту для покращення обізнаності суспільства щодо державно-приватного партнерства, що є авторською новизною.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Проведене наукове теоретичне дослідження є важливим та актуальним і потребує подальшого розвитку, удосконалення та реалізації на практиці. Громадські організації можуть  бути задіяні для покращення ефективності роботи  державно-приватного партнерства.</w:t>
      </w:r>
    </w:p>
    <w:p w14:paraId="009CB6E4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</w:p>
    <w:p w14:paraId="172105BF" w14:textId="77777777" w:rsidR="00192C9B" w:rsidRPr="00906027" w:rsidRDefault="00192C9B" w:rsidP="003C2E33">
      <w:pPr>
        <w:spacing w:after="0"/>
        <w:ind w:firstLine="709"/>
        <w:jc w:val="both"/>
        <w:rPr>
          <w:rFonts w:ascii="point" w:hAnsi="point" w:cs="Times New Roman"/>
          <w:b/>
          <w:bCs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b/>
          <w:bCs/>
          <w:color w:val="000000" w:themeColor="text1"/>
          <w:sz w:val="28"/>
          <w:szCs w:val="28"/>
          <w:lang w:val="uk-UA"/>
        </w:rPr>
        <w:t>Бібліографічний список  :</w:t>
      </w:r>
    </w:p>
    <w:p w14:paraId="68E63DB6" w14:textId="77777777" w:rsidR="00192C9B" w:rsidRPr="00906027" w:rsidRDefault="00192C9B" w:rsidP="003C2E33">
      <w:pPr>
        <w:numPr>
          <w:ilvl w:val="0"/>
          <w:numId w:val="1"/>
        </w:numPr>
        <w:spacing w:after="0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eastAsia="Consolas" w:hAnsi="point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Загальна декларація прав людини 10 грудня 1948 року 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URL: </w:t>
      </w:r>
      <w:hyperlink r:id="rId8" w:anchor="Text" w:history="1">
        <w:r w:rsidRPr="00906027">
          <w:rPr>
            <w:rStyle w:val="ac"/>
            <w:rFonts w:ascii="point" w:eastAsiaTheme="majorEastAsia" w:hAnsi="point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https://zakon.rada.gov.ua/laws/show/995_015#Text</w:t>
        </w:r>
      </w:hyperlink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</w:t>
      </w:r>
      <w:r w:rsidRPr="00906027">
        <w:rPr>
          <w:rFonts w:ascii="point" w:eastAsia="SimSun" w:hAnsi="point" w:cs="Times New Roman"/>
          <w:color w:val="000000" w:themeColor="text1"/>
          <w:sz w:val="28"/>
          <w:szCs w:val="28"/>
          <w:lang w:val="uk-UA"/>
        </w:rPr>
        <w:t>(дата звернення: 22.08.2024).</w:t>
      </w:r>
    </w:p>
    <w:p w14:paraId="63DA65D7" w14:textId="77777777" w:rsidR="00192C9B" w:rsidRPr="00906027" w:rsidRDefault="00192C9B" w:rsidP="003C2E33">
      <w:pPr>
        <w:numPr>
          <w:ilvl w:val="0"/>
          <w:numId w:val="1"/>
        </w:numPr>
        <w:spacing w:after="0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Про права людини (Конвенція). 1950. URL: </w:t>
      </w:r>
      <w:hyperlink r:id="rId9" w:anchor="Text." w:history="1">
        <w:r w:rsidRPr="00906027">
          <w:rPr>
            <w:rStyle w:val="ac"/>
            <w:rFonts w:ascii="point" w:eastAsiaTheme="majorEastAsia" w:hAnsi="point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https://zakon.rada.gov.ua/laws/show/995_004#Text.</w:t>
        </w:r>
      </w:hyperlink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</w:t>
      </w:r>
      <w:r w:rsidRPr="00906027">
        <w:rPr>
          <w:rFonts w:ascii="point" w:eastAsia="SimSun" w:hAnsi="point" w:cs="Times New Roman"/>
          <w:color w:val="000000" w:themeColor="text1"/>
          <w:sz w:val="28"/>
          <w:szCs w:val="28"/>
          <w:lang w:val="uk-UA"/>
        </w:rPr>
        <w:t>(дата звернення: 12.08.2024).</w:t>
      </w:r>
    </w:p>
    <w:p w14:paraId="4C81CEDC" w14:textId="77777777" w:rsidR="00192C9B" w:rsidRPr="00906027" w:rsidRDefault="00192C9B" w:rsidP="003C2E33">
      <w:pPr>
        <w:numPr>
          <w:ilvl w:val="0"/>
          <w:numId w:val="1"/>
        </w:numPr>
        <w:spacing w:after="0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Конституція України від 26 червня 1996 року URL:</w:t>
      </w:r>
    </w:p>
    <w:p w14:paraId="2AE99B06" w14:textId="77777777" w:rsidR="00192C9B" w:rsidRPr="00906027" w:rsidRDefault="00000000" w:rsidP="003C2E33">
      <w:pPr>
        <w:spacing w:after="0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hyperlink r:id="rId10" w:anchor="Text." w:history="1">
        <w:r w:rsidR="00192C9B" w:rsidRPr="00906027">
          <w:rPr>
            <w:rStyle w:val="ac"/>
            <w:rFonts w:ascii="point" w:eastAsiaTheme="majorEastAsia" w:hAnsi="point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https://zakon.rada.gov.ua/laws/show/254%D0%BA/96-%D0%B2%D1%80#Text.</w:t>
        </w:r>
      </w:hyperlink>
      <w:r w:rsidR="00192C9B"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</w:t>
      </w:r>
      <w:r w:rsidR="00192C9B" w:rsidRPr="00906027">
        <w:rPr>
          <w:rFonts w:ascii="point" w:eastAsia="SimSun" w:hAnsi="point" w:cs="Times New Roman"/>
          <w:color w:val="000000" w:themeColor="text1"/>
          <w:sz w:val="28"/>
          <w:szCs w:val="28"/>
          <w:lang w:val="uk-UA"/>
        </w:rPr>
        <w:t>(дата звернення: 22.08.2024).</w:t>
      </w:r>
    </w:p>
    <w:p w14:paraId="5EED0B7F" w14:textId="77777777" w:rsidR="00192C9B" w:rsidRPr="00906027" w:rsidRDefault="00192C9B" w:rsidP="003C2E33">
      <w:pPr>
        <w:numPr>
          <w:ilvl w:val="0"/>
          <w:numId w:val="1"/>
        </w:numPr>
        <w:spacing w:after="0"/>
        <w:rPr>
          <w:rFonts w:ascii="point" w:eastAsia="SimSun" w:hAnsi="point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lastRenderedPageBreak/>
        <w:t xml:space="preserve">Про державно-приватне партнерство. Закон України </w:t>
      </w:r>
      <w:r w:rsidRPr="00906027">
        <w:rPr>
          <w:rFonts w:ascii="point" w:eastAsia="SimSun" w:hAnsi="point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№ 2404-VI </w:t>
      </w: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від 03.09.2023. URL:https://zakon.rada.gov.ua/laws/show/2404-VI#Text </w:t>
      </w:r>
      <w:r w:rsidRPr="00906027">
        <w:rPr>
          <w:rFonts w:ascii="point" w:eastAsia="SimSun" w:hAnsi="point" w:cs="Times New Roman"/>
          <w:color w:val="000000" w:themeColor="text1"/>
          <w:sz w:val="28"/>
          <w:szCs w:val="28"/>
          <w:lang w:val="uk-UA"/>
        </w:rPr>
        <w:t>(дата звернення: 1.09.2024).</w:t>
      </w:r>
    </w:p>
    <w:p w14:paraId="46DEEA91" w14:textId="77777777" w:rsidR="00192C9B" w:rsidRPr="00906027" w:rsidRDefault="00192C9B" w:rsidP="003C2E33">
      <w:pPr>
        <w:spacing w:after="0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5. Квітка  С.  А.  Публічно-приватне  партнерство  як  дієвий  механізм взаємодії влади та бізнесу. Аспекти публічного управління. 2015. Т. 3, </w:t>
      </w:r>
      <w:proofErr w:type="spellStart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No</w:t>
      </w:r>
      <w:proofErr w:type="spellEnd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 7-8. С.47-55. </w:t>
      </w:r>
    </w:p>
    <w:p w14:paraId="70D997F0" w14:textId="77777777" w:rsidR="00192C9B" w:rsidRPr="00906027" w:rsidRDefault="00192C9B" w:rsidP="003C2E33">
      <w:pPr>
        <w:spacing w:after="0"/>
        <w:jc w:val="both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6. Круглов  В.  В.  Державно-приватне  партнерство:  проблеми  та перспективи розвитку в Україні. Теорія та практика державного управління. 2015. </w:t>
      </w:r>
      <w:proofErr w:type="spellStart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. 2 (49). С. 127-133.</w:t>
      </w:r>
    </w:p>
    <w:p w14:paraId="66A6B52A" w14:textId="77777777" w:rsidR="00192C9B" w:rsidRPr="00906027" w:rsidRDefault="00192C9B" w:rsidP="003C2E33">
      <w:pPr>
        <w:spacing w:after="0"/>
        <w:rPr>
          <w:rFonts w:ascii="point" w:hAnsi="point" w:cs="Times New Roman"/>
          <w:color w:val="000000" w:themeColor="text1"/>
          <w:sz w:val="28"/>
          <w:szCs w:val="28"/>
          <w:lang w:val="uk-UA"/>
        </w:rPr>
      </w:pPr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 xml:space="preserve">7. Крупа  О.М.  Державно-приватне  партнерство:  аналіз  світового досвіду  та  шляхи розвитку  в  Україні  :  монографія.  Житомир: </w:t>
      </w:r>
      <w:proofErr w:type="spellStart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Держ.ун</w:t>
      </w:r>
      <w:proofErr w:type="spellEnd"/>
      <w:r w:rsidRPr="00906027">
        <w:rPr>
          <w:rFonts w:ascii="point" w:hAnsi="point" w:cs="Times New Roman"/>
          <w:color w:val="000000" w:themeColor="text1"/>
          <w:sz w:val="28"/>
          <w:szCs w:val="28"/>
          <w:lang w:val="uk-UA"/>
        </w:rPr>
        <w:t>-т «Житомир. політехніка». 2021. 140 с.</w:t>
      </w:r>
    </w:p>
    <w:p w14:paraId="0FE6E2FF" w14:textId="77777777" w:rsidR="0080573F" w:rsidRDefault="0080573F"/>
    <w:sectPr w:rsidR="0080573F" w:rsidSect="00906027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6F0C" w14:textId="77777777" w:rsidR="00B970BD" w:rsidRDefault="00B970BD">
      <w:pPr>
        <w:spacing w:after="0" w:line="240" w:lineRule="auto"/>
      </w:pPr>
      <w:r>
        <w:separator/>
      </w:r>
    </w:p>
  </w:endnote>
  <w:endnote w:type="continuationSeparator" w:id="0">
    <w:p w14:paraId="68C21F19" w14:textId="77777777" w:rsidR="00B970BD" w:rsidRDefault="00B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int, 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alic">
    <w:altName w:val="Cambria"/>
    <w:panose1 w:val="00000000000000000000"/>
    <w:charset w:val="00"/>
    <w:family w:val="roman"/>
    <w:notTrueType/>
    <w:pitch w:val="default"/>
  </w:font>
  <w:font w:name="point, italic">
    <w:altName w:val="Cambria"/>
    <w:panose1 w:val="00000000000000000000"/>
    <w:charset w:val="00"/>
    <w:family w:val="roman"/>
    <w:notTrueType/>
    <w:pitch w:val="default"/>
  </w:font>
  <w:font w:name="poi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1B22" w14:textId="77777777" w:rsidR="00B970BD" w:rsidRDefault="00B970BD">
      <w:pPr>
        <w:spacing w:after="0" w:line="240" w:lineRule="auto"/>
      </w:pPr>
      <w:r>
        <w:separator/>
      </w:r>
    </w:p>
  </w:footnote>
  <w:footnote w:type="continuationSeparator" w:id="0">
    <w:p w14:paraId="67D08D0D" w14:textId="77777777" w:rsidR="00B970BD" w:rsidRDefault="00B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B25E" w14:textId="77777777" w:rsidR="00A51782" w:rsidRDefault="00A517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2AE9D8"/>
    <w:multiLevelType w:val="singleLevel"/>
    <w:tmpl w:val="822AE9D8"/>
    <w:lvl w:ilvl="0">
      <w:start w:val="1"/>
      <w:numFmt w:val="decimal"/>
      <w:suff w:val="space"/>
      <w:lvlText w:val="%1."/>
      <w:lvlJc w:val="left"/>
      <w:rPr>
        <w:rFonts w:hint="default"/>
        <w:color w:val="000000" w:themeColor="text1"/>
      </w:rPr>
    </w:lvl>
  </w:abstractNum>
  <w:num w:numId="1" w16cid:durableId="109775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1"/>
    <w:rsid w:val="00025EDE"/>
    <w:rsid w:val="00095DAE"/>
    <w:rsid w:val="000A743A"/>
    <w:rsid w:val="00117D86"/>
    <w:rsid w:val="001472DD"/>
    <w:rsid w:val="00192C9B"/>
    <w:rsid w:val="00204E43"/>
    <w:rsid w:val="00265F99"/>
    <w:rsid w:val="003C2E33"/>
    <w:rsid w:val="00466E21"/>
    <w:rsid w:val="00490087"/>
    <w:rsid w:val="0051172B"/>
    <w:rsid w:val="005A44A6"/>
    <w:rsid w:val="006E1092"/>
    <w:rsid w:val="007378AC"/>
    <w:rsid w:val="007A2CD5"/>
    <w:rsid w:val="0080573F"/>
    <w:rsid w:val="00876579"/>
    <w:rsid w:val="00900382"/>
    <w:rsid w:val="00906027"/>
    <w:rsid w:val="009E1931"/>
    <w:rsid w:val="00A149F5"/>
    <w:rsid w:val="00A51782"/>
    <w:rsid w:val="00A52350"/>
    <w:rsid w:val="00AD2EB7"/>
    <w:rsid w:val="00AF316C"/>
    <w:rsid w:val="00B8643E"/>
    <w:rsid w:val="00B970BD"/>
    <w:rsid w:val="00CD4E4D"/>
    <w:rsid w:val="00DA6926"/>
    <w:rsid w:val="00DB3E85"/>
    <w:rsid w:val="00EA50D2"/>
    <w:rsid w:val="00F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CAC8"/>
  <w15:chartTrackingRefBased/>
  <w15:docId w15:val="{91EABCDF-8B68-43C4-8BA8-F66A9185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9B"/>
    <w:pPr>
      <w:spacing w:after="200" w:line="276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9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93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93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9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9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9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9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9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9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93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9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93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E1931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qFormat/>
    <w:rsid w:val="00192C9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qFormat/>
    <w:rsid w:val="0019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192C9B"/>
    <w:rPr>
      <w:rFonts w:ascii="Calibri" w:eastAsia="Times New Roman" w:hAnsi="Calibri" w:cs="Calibri"/>
      <w:kern w:val="0"/>
      <w:lang w:val="ru-RU" w:eastAsia="ru-RU"/>
      <w14:ligatures w14:val="none"/>
    </w:rPr>
  </w:style>
  <w:style w:type="character" w:styleId="af">
    <w:name w:val="Unresolved Mention"/>
    <w:basedOn w:val="a0"/>
    <w:uiPriority w:val="99"/>
    <w:semiHidden/>
    <w:unhideWhenUsed/>
    <w:rsid w:val="00F0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84;.%20&#1042;&#1110;&#1085;&#1085;&#1080;&#1094;&#110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5_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4647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Андрій Віталійович</dc:creator>
  <cp:keywords/>
  <dc:description/>
  <cp:lastModifiedBy>Тесля Андрій Віталійович</cp:lastModifiedBy>
  <cp:revision>24</cp:revision>
  <dcterms:created xsi:type="dcterms:W3CDTF">2024-09-10T07:51:00Z</dcterms:created>
  <dcterms:modified xsi:type="dcterms:W3CDTF">2024-09-10T15:53:00Z</dcterms:modified>
</cp:coreProperties>
</file>