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00" w:rsidRPr="002023AE" w:rsidRDefault="00CD4AB9" w:rsidP="00162637">
      <w:pPr>
        <w:spacing w:line="276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3AE">
        <w:rPr>
          <w:rFonts w:ascii="Times New Roman" w:hAnsi="Times New Roman" w:cs="Times New Roman"/>
          <w:b/>
          <w:sz w:val="28"/>
          <w:szCs w:val="28"/>
          <w:lang w:val="uk-UA"/>
        </w:rPr>
        <w:t>НОВІ ПРАКТИКИ ТА ОРГАНІЗАЦІЙНІ ФОРМИ ВІДКРИТОЇ НАУКИ В УМОВАХ ВІДНОВЛЕННЯ УКРАЇНИ У ПОВОЄННІ ЧАСИ</w:t>
      </w:r>
    </w:p>
    <w:p w:rsidR="009138C6" w:rsidRPr="00A65593" w:rsidRDefault="00162637" w:rsidP="00162637">
      <w:pPr>
        <w:spacing w:line="276" w:lineRule="auto"/>
        <w:ind w:left="-567"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5593">
        <w:rPr>
          <w:rFonts w:ascii="Times New Roman" w:hAnsi="Times New Roman" w:cs="Times New Roman"/>
          <w:sz w:val="28"/>
          <w:szCs w:val="28"/>
          <w:lang w:val="uk-UA"/>
        </w:rPr>
        <w:t>ХРАБАН</w:t>
      </w:r>
      <w:r w:rsidR="00C07266" w:rsidRPr="00A65593">
        <w:rPr>
          <w:rFonts w:ascii="Times New Roman" w:hAnsi="Times New Roman" w:cs="Times New Roman"/>
          <w:sz w:val="28"/>
          <w:szCs w:val="28"/>
          <w:lang w:val="uk-UA"/>
        </w:rPr>
        <w:t xml:space="preserve"> Т.Є </w:t>
      </w:r>
    </w:p>
    <w:p w:rsidR="005654C6" w:rsidRPr="002023AE" w:rsidRDefault="00162637" w:rsidP="00162637">
      <w:pPr>
        <w:spacing w:line="276" w:lineRule="auto"/>
        <w:ind w:left="-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r w:rsidRPr="002023AE">
        <w:rPr>
          <w:rFonts w:ascii="Times New Roman" w:hAnsi="Times New Roman" w:cs="Times New Roman"/>
          <w:i/>
          <w:sz w:val="28"/>
          <w:szCs w:val="28"/>
          <w:lang w:val="uk-UA"/>
        </w:rPr>
        <w:t>Військовий інститут телекомунікацій та інформатизації</w:t>
      </w:r>
      <w:r w:rsidR="00C07266" w:rsidRPr="002023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End w:id="0"/>
      <w:r w:rsidR="00C07266" w:rsidRPr="002023AE">
        <w:rPr>
          <w:rFonts w:ascii="Times New Roman" w:hAnsi="Times New Roman" w:cs="Times New Roman"/>
          <w:i/>
          <w:sz w:val="28"/>
          <w:szCs w:val="28"/>
          <w:lang w:val="uk-UA"/>
        </w:rPr>
        <w:t>(м. Київ, Україна)</w:t>
      </w:r>
    </w:p>
    <w:p w:rsidR="00162637" w:rsidRPr="002023AE" w:rsidRDefault="001C6A20" w:rsidP="00162637">
      <w:pPr>
        <w:spacing w:line="276" w:lineRule="auto"/>
        <w:ind w:left="-567"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3AE">
        <w:rPr>
          <w:rFonts w:ascii="Times New Roman" w:hAnsi="Times New Roman" w:cs="Times New Roman"/>
          <w:sz w:val="28"/>
          <w:szCs w:val="28"/>
          <w:lang w:val="uk-UA"/>
        </w:rPr>
        <w:t>e-mail: tetiana.khraban@viti.edu.ua</w:t>
      </w:r>
    </w:p>
    <w:p w:rsidR="002023AE" w:rsidRDefault="002023AE" w:rsidP="00162637">
      <w:pPr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3AB0" w:rsidRPr="002023AE" w:rsidRDefault="001850AE" w:rsidP="00162637">
      <w:pPr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3AE">
        <w:rPr>
          <w:rFonts w:ascii="Times New Roman" w:hAnsi="Times New Roman" w:cs="Times New Roman"/>
          <w:sz w:val="28"/>
          <w:szCs w:val="28"/>
          <w:lang w:val="uk-UA"/>
        </w:rPr>
        <w:t>Концепція відкритої науки стимулює нові бачення, принципи і практики проведення досліджень та інновацій в університетах. Відкрита наука, що базується на нещодавньому узагальненні досліджень щодо її використа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ння та застосування, прагне до 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прозорих і доступних знань, які поширюються і розв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>иваються через мережі співпраці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>[1]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. Розвиток цифрових і комунікаційних технологій та розробка різних типів цифрових платформ сприяють появі нових політик і практик відкритої науки в університетах, таких як обмін відкритими даними, п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ублікація у відкритому доступі 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та спільне проектування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>[1]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. Ці нові практики відкритої науки розвива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ся в тандемі з новими організаційними формами проведення та обміну дослідженнями 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репозиторії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лабораторії 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>відкритого доступу,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трансдисциплінарні дослідницькі платформи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5E47" w:rsidRPr="002023A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. Разом ці нові практики та організаційні форми розширюють етос науки в університетах. </w:t>
      </w:r>
      <w:r w:rsidR="00123AB0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Нові практики відкритої науки і нові способи організації наукової роботи за допомогою цифрових платформ, інструментів і послуг для дослідників роблять 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знання 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наукові результати </w:t>
      </w:r>
      <w:r w:rsidR="00123AB0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все більш </w:t>
      </w:r>
      <w:r w:rsidR="00435FEE" w:rsidRPr="002023AE">
        <w:rPr>
          <w:rFonts w:ascii="Times New Roman" w:hAnsi="Times New Roman" w:cs="Times New Roman"/>
          <w:sz w:val="28"/>
          <w:szCs w:val="28"/>
          <w:lang w:val="uk-UA"/>
        </w:rPr>
        <w:t>доступн</w:t>
      </w:r>
      <w:r w:rsidR="00E146A8" w:rsidRPr="002023AE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435FEE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AB0" w:rsidRPr="002023A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35FEE" w:rsidRPr="002023AE">
        <w:rPr>
          <w:rFonts w:ascii="Times New Roman" w:hAnsi="Times New Roman" w:cs="Times New Roman"/>
          <w:sz w:val="28"/>
          <w:szCs w:val="28"/>
          <w:lang w:val="uk-UA"/>
        </w:rPr>
        <w:t>ля кожного, а процес створення знань –</w:t>
      </w:r>
      <w:r w:rsidR="00123AB0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більш ефективним і цілеспрямованим</w:t>
      </w:r>
      <w:r w:rsidR="00C77C33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C33" w:rsidRPr="002023A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77C33" w:rsidRPr="002023A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23AB0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. Феномен відкритих інновацій </w:t>
      </w:r>
      <w:r w:rsidR="00C77C33" w:rsidRPr="002023AE">
        <w:rPr>
          <w:rFonts w:ascii="Times New Roman" w:hAnsi="Times New Roman" w:cs="Times New Roman"/>
          <w:sz w:val="28"/>
          <w:szCs w:val="28"/>
          <w:lang w:val="uk-UA"/>
        </w:rPr>
        <w:t>створив</w:t>
      </w:r>
      <w:r w:rsidR="00123AB0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нові недосліджені можливості </w:t>
      </w:r>
      <w:r w:rsidR="00E15383" w:rsidRPr="002023AE">
        <w:rPr>
          <w:rFonts w:ascii="Times New Roman" w:hAnsi="Times New Roman" w:cs="Times New Roman"/>
          <w:sz w:val="28"/>
          <w:szCs w:val="28"/>
          <w:lang w:val="uk-UA"/>
        </w:rPr>
        <w:t>для імплементації принципів відкритої науки в діяльності сучасного Університету</w:t>
      </w:r>
      <w:r w:rsidR="00123AB0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надійний обмін даними, контроль якості та відтворюваність методів і результатів досліджень, управління спільними дослідницькими платформами, інструменти фінансування, відносини між університетами та промисловістю, стратегічні альянси, стартапи та консорціуми)</w:t>
      </w:r>
      <w:r w:rsidR="00E15383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5383" w:rsidRPr="002023A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3608D" w:rsidRPr="002023A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15383" w:rsidRPr="002023A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23AB0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51FA" w:rsidRPr="002023A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851FA" w:rsidRPr="002023AE">
        <w:rPr>
          <w:rFonts w:ascii="Times New Roman" w:hAnsi="Times New Roman" w:cs="Times New Roman"/>
          <w:sz w:val="28"/>
          <w:szCs w:val="28"/>
          <w:lang w:val="uk-UA"/>
        </w:rPr>
        <w:t>ожна виділити ряд переваг</w:t>
      </w:r>
      <w:r w:rsidR="000851FA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</w:t>
      </w:r>
      <w:r w:rsidR="000851FA" w:rsidRPr="002023AE">
        <w:rPr>
          <w:rFonts w:ascii="Times New Roman" w:hAnsi="Times New Roman" w:cs="Times New Roman"/>
          <w:sz w:val="28"/>
          <w:szCs w:val="28"/>
          <w:lang w:val="uk-UA"/>
        </w:rPr>
        <w:t>принципів відкритої науки в діяльності сучасного Університету</w:t>
      </w:r>
      <w:r w:rsidR="000851FA" w:rsidRPr="002023AE">
        <w:rPr>
          <w:rFonts w:ascii="Times New Roman" w:hAnsi="Times New Roman" w:cs="Times New Roman"/>
          <w:sz w:val="28"/>
          <w:szCs w:val="28"/>
          <w:lang w:val="uk-UA"/>
        </w:rPr>
        <w:t>: 1. </w:t>
      </w:r>
      <w:r w:rsidR="00665FCE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Видимість усіх результатів досліджень збільшиться, коли вони стануть відкритими. Це повинно призвести до </w:t>
      </w:r>
      <w:r w:rsidR="000851FA" w:rsidRPr="002023AE">
        <w:rPr>
          <w:rFonts w:ascii="Times New Roman" w:hAnsi="Times New Roman" w:cs="Times New Roman"/>
          <w:sz w:val="28"/>
          <w:szCs w:val="28"/>
          <w:lang w:val="uk-UA"/>
        </w:rPr>
        <w:t>збільшення цитування</w:t>
      </w:r>
      <w:r w:rsidR="00665FCE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користувачі, які можуть легко завантажити відкриті версії результатів, 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t>зможуть</w:t>
      </w:r>
      <w:r w:rsidR="00665FCE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посилатися на ці версії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t>. 2. </w:t>
      </w:r>
      <w:r w:rsidR="00665FCE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Доступ до даних і методології дослідження дозволяє окремим користувачам відтворювати результати оригінальних авторів і виявляти будь-які помилки/неточності. 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665FCE" w:rsidRPr="002023AE">
        <w:rPr>
          <w:rFonts w:ascii="Times New Roman" w:hAnsi="Times New Roman" w:cs="Times New Roman"/>
          <w:sz w:val="28"/>
          <w:szCs w:val="28"/>
          <w:lang w:val="uk-UA"/>
        </w:rPr>
        <w:t>Виконання наведених вище кроків підвищить наочність результатів, а також дозволить читачам побачити, як змінювався текст/висновки на різних етапах процесу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t>. 4. </w:t>
      </w:r>
      <w:r w:rsidR="00665FCE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визнаних ідентифікаторів/процесів 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t>збагачує дослідницький ландшафт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авторам </w:t>
      </w:r>
      <w:r w:rsidR="00913247" w:rsidRPr="002023AE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можливість контролювати цілісність їх роботи і право на належне визнання та цитування</w:t>
      </w:r>
      <w:r w:rsidR="00544AEC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AEC" w:rsidRPr="002023A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44AEC" w:rsidRPr="002023A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65FCE" w:rsidRPr="002023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724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>Існують</w:t>
      </w:r>
      <w:r w:rsidR="004C1609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два різних типи відкритих наукових практик у дослідницьких групах: практики відкритого обміну та практики відкритого запрошення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>Практик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відкритої 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науки є 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>обмін відкритими даними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>публікація у відкритому доступі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>спільне використання відкритих протоколів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>відкриті репозиторії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>обмін відкритими прототипами через відкриті ліцензії</w:t>
      </w:r>
      <w:r w:rsidR="009138C6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320CA" w:rsidRPr="002023AE">
        <w:rPr>
          <w:rFonts w:ascii="Times New Roman" w:hAnsi="Times New Roman" w:cs="Times New Roman"/>
          <w:sz w:val="28"/>
          <w:szCs w:val="28"/>
          <w:lang w:val="uk-UA"/>
        </w:rPr>
        <w:t>Другий тип практик відкритої науки</w:t>
      </w:r>
      <w:r w:rsidR="007B4A39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320CA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це практики відкритого запрошення. На відміну від практик відкритого обміну, ці практики орієнтовані на залучення окремих осіб, інших дослідників і груп, а також суспільства до широкої участі в дослідженнях і створенні нових наукових знань. Ці практики залучення набувають таких форм, як невеликі клуби, консорціуми різного розміру та ширші спільноти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320CA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умовах відновлення України у повоєнні часи </w:t>
      </w:r>
      <w:r w:rsidR="003A2B56" w:rsidRPr="002023A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B4A39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радиційні </w:t>
      </w:r>
      <w:r w:rsidR="003A2B56" w:rsidRPr="002023AE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  <w:r w:rsidR="007B4A39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відкритої науки та нові </w:t>
      </w:r>
      <w:r w:rsidR="003A2B56" w:rsidRPr="002023AE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  <w:r w:rsidR="007B4A39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відкритих інновацій 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будуть </w:t>
      </w:r>
      <w:r w:rsidR="007B4A39" w:rsidRPr="002023AE">
        <w:rPr>
          <w:rFonts w:ascii="Times New Roman" w:hAnsi="Times New Roman" w:cs="Times New Roman"/>
          <w:sz w:val="28"/>
          <w:szCs w:val="28"/>
          <w:lang w:val="uk-UA"/>
        </w:rPr>
        <w:t>потребу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>вати адаптації, оновлення та об’</w:t>
      </w:r>
      <w:r w:rsidR="007B4A39" w:rsidRPr="002023AE">
        <w:rPr>
          <w:rFonts w:ascii="Times New Roman" w:hAnsi="Times New Roman" w:cs="Times New Roman"/>
          <w:sz w:val="28"/>
          <w:szCs w:val="28"/>
          <w:lang w:val="uk-UA"/>
        </w:rPr>
        <w:t>єднання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умовах відновлення України у повоєнні часи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>оловними ч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>инник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>які будуть сприяти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впровадженню практики відкритої науки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3A8A" w:rsidRPr="002023AE">
        <w:rPr>
          <w:rFonts w:ascii="Times New Roman" w:hAnsi="Times New Roman" w:cs="Times New Roman"/>
          <w:sz w:val="28"/>
          <w:szCs w:val="28"/>
          <w:lang w:val="uk-UA"/>
        </w:rPr>
        <w:t>є: 1. 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Стимулювання 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>впровадження відкритих наукових практик з високим рівнем прозорості та доступності наукових результатів у дослідницьких групах, включаючи відкриті дані, публікації у відкритому доступі, відкриті протоколи та відкриті прототипи</w:t>
      </w:r>
      <w:r w:rsidR="002659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(шаблони проектування)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4827" w:rsidRPr="002023AE">
        <w:rPr>
          <w:rFonts w:ascii="Times New Roman" w:hAnsi="Times New Roman" w:cs="Times New Roman"/>
          <w:sz w:val="28"/>
          <w:szCs w:val="28"/>
          <w:lang w:val="uk-UA"/>
        </w:rPr>
        <w:t>2. Сприяння розвитку кар’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>єри дослідників у відкритій науці</w:t>
      </w:r>
      <w:r w:rsidR="00142E8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шляхом 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>впровадж</w:t>
      </w:r>
      <w:r w:rsidR="00142E8D" w:rsidRPr="002023AE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142E8D" w:rsidRPr="002023AE">
        <w:rPr>
          <w:rFonts w:ascii="Times New Roman" w:hAnsi="Times New Roman" w:cs="Times New Roman"/>
          <w:sz w:val="28"/>
          <w:szCs w:val="28"/>
          <w:lang w:val="uk-UA"/>
        </w:rPr>
        <w:t>их практик з високим рівнем прозорості і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доступності. Нинішня система контрактів</w:t>
      </w:r>
      <w:r w:rsidR="00142E8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>робить сильний акцент на публікаціях у журналах найвищого рівня, кількості публікацій і кількості цитувань, але мало уваги приділяє відкритості наукових результатів.</w:t>
      </w:r>
      <w:r w:rsidR="00142E8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3. Р</w:t>
      </w:r>
      <w:r w:rsidR="00CB7E83" w:rsidRPr="002023AE">
        <w:rPr>
          <w:rFonts w:ascii="Times New Roman" w:hAnsi="Times New Roman" w:cs="Times New Roman"/>
          <w:sz w:val="28"/>
          <w:szCs w:val="28"/>
          <w:lang w:val="uk-UA"/>
        </w:rPr>
        <w:t>озробка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курсів для дослідників </w:t>
      </w:r>
      <w:r w:rsidR="00142E8D" w:rsidRPr="002023AE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практик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відкритої науки, а також 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надання доступу до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ресурс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ів та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 технічної підтримки в університетах. 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4. Підтримка 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>видавнич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их практик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9E7447" w:rsidRPr="002023AE">
        <w:rPr>
          <w:rFonts w:ascii="Times New Roman" w:hAnsi="Times New Roman" w:cs="Times New Roman"/>
          <w:sz w:val="28"/>
          <w:szCs w:val="28"/>
          <w:lang w:val="uk-UA"/>
        </w:rPr>
        <w:t>сприяють</w:t>
      </w:r>
      <w:r w:rsidR="004F04B7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впровадженню практики відкритої науки з високим рівнем прозорості та доступності наукових результатів для дослідницьких груп. </w:t>
      </w:r>
    </w:p>
    <w:p w:rsidR="00123AB0" w:rsidRPr="00DB4ECC" w:rsidRDefault="00DB4ECC" w:rsidP="00162637">
      <w:pPr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ECC">
        <w:rPr>
          <w:rFonts w:ascii="Times New Roman" w:hAnsi="Times New Roman" w:cs="Times New Roman"/>
          <w:b/>
          <w:sz w:val="28"/>
          <w:szCs w:val="28"/>
          <w:lang w:val="uk-UA"/>
        </w:rPr>
        <w:t>Перелік джерел посилання:</w:t>
      </w:r>
    </w:p>
    <w:p w:rsidR="009055BD" w:rsidRPr="002023AE" w:rsidRDefault="00A65593" w:rsidP="00162637">
      <w:pPr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Vicente-Saez R., Gustafsson R., &amp; Van den Brande L. 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The dawn of an open exploration era: Emergent principles and practices of open science and innovation of university research teams in a digital world. </w:t>
      </w:r>
      <w:r w:rsidR="009055BD" w:rsidRPr="00A65593">
        <w:rPr>
          <w:rFonts w:ascii="Times New Roman" w:hAnsi="Times New Roman" w:cs="Times New Roman"/>
          <w:i/>
          <w:sz w:val="28"/>
          <w:szCs w:val="28"/>
          <w:lang w:val="uk-UA"/>
        </w:rPr>
        <w:t>Technological Forecasting and Social Change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 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156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120037. 1</w:t>
      </w:r>
      <w:r w:rsidRPr="00A65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https://doi.org/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0.1016/j.techfore.2020.120037</w:t>
      </w:r>
    </w:p>
    <w:p w:rsidR="009055BD" w:rsidRPr="002023AE" w:rsidRDefault="00A65593" w:rsidP="00162637">
      <w:pPr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Smart P., Holmes S., Lettice F., Pitts F.H., Zwiegelaar J.B., Schwartz G. and Evans S. 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Open Science and Open Innovation in a socio-political context: knowledge production for societal impact in an age of post-truth populism. </w:t>
      </w:r>
      <w:r w:rsidR="009055BD" w:rsidRPr="00A65593">
        <w:rPr>
          <w:rFonts w:ascii="Times New Roman" w:hAnsi="Times New Roman" w:cs="Times New Roman"/>
          <w:i/>
          <w:sz w:val="28"/>
          <w:szCs w:val="28"/>
          <w:lang w:val="uk-UA"/>
        </w:rPr>
        <w:t>R&amp;D Management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2019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 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49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P. </w:t>
      </w:r>
      <w:r>
        <w:rPr>
          <w:rFonts w:ascii="Times New Roman" w:hAnsi="Times New Roman" w:cs="Times New Roman"/>
          <w:sz w:val="28"/>
          <w:szCs w:val="28"/>
          <w:lang w:val="uk-UA"/>
        </w:rPr>
        <w:t>279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297. https://doi.org/10.1111/radm.12377</w:t>
      </w:r>
    </w:p>
    <w:p w:rsidR="009055BD" w:rsidRPr="002023AE" w:rsidRDefault="007724D6" w:rsidP="00162637">
      <w:pPr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3. 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Ramírez-Montoya 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, Castillo-Martínez 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, Sanabria-Z J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, Miranda J. Complex Thinking in the Framework of Ed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ucation 4.0 and Open Innovation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Systematic Literature Review. </w:t>
      </w:r>
      <w:r w:rsidR="009055BD" w:rsidRPr="007724D6">
        <w:rPr>
          <w:rFonts w:ascii="Times New Roman" w:hAnsi="Times New Roman" w:cs="Times New Roman"/>
          <w:i/>
          <w:sz w:val="28"/>
          <w:szCs w:val="28"/>
          <w:lang w:val="uk-UA"/>
        </w:rPr>
        <w:t>Journal of Open Innovation: Technology, Market, and Complexity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. 2022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 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. Sss. 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 P. 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4. https://doi.org/10.3390/joitmc8010004</w:t>
      </w:r>
    </w:p>
    <w:p w:rsidR="009055BD" w:rsidRPr="00B7487B" w:rsidRDefault="00B7487B" w:rsidP="00162637">
      <w:pPr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Denden M. 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An open science strategy for EUNICE universities, EUNICE European University, France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en-US"/>
        </w:rPr>
        <w:t> p.</w:t>
      </w:r>
    </w:p>
    <w:p w:rsidR="009055BD" w:rsidRPr="009055BD" w:rsidRDefault="00B7487B" w:rsidP="00162637">
      <w:pPr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Luo T., Hostetler K., Freeman C., &amp; Stefaniak J. 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The power of open: Benefits, barriers, and strategies for integration of open educational resources. Open Learning: The Journal of Open, Distance and e-Learning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 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  <w:lang w:val="en-US"/>
        </w:rPr>
        <w:t>. Iss. 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P. </w:t>
      </w:r>
      <w:r>
        <w:rPr>
          <w:rFonts w:ascii="Times New Roman" w:hAnsi="Times New Roman" w:cs="Times New Roman"/>
          <w:sz w:val="28"/>
          <w:szCs w:val="28"/>
          <w:lang w:val="uk-UA"/>
        </w:rPr>
        <w:t>140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158.</w:t>
      </w:r>
      <w:r w:rsidR="009055BD" w:rsidRPr="002023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3AE">
        <w:rPr>
          <w:rFonts w:ascii="Times New Roman" w:hAnsi="Times New Roman" w:cs="Times New Roman"/>
          <w:sz w:val="28"/>
          <w:szCs w:val="28"/>
          <w:lang w:val="uk-UA"/>
        </w:rPr>
        <w:t>https://doi.org/</w:t>
      </w:r>
      <w:r w:rsidR="009055BD" w:rsidRPr="002023AE">
        <w:rPr>
          <w:rFonts w:ascii="Times New Roman" w:hAnsi="Times New Roman" w:cs="Times New Roman"/>
          <w:sz w:val="28"/>
          <w:szCs w:val="28"/>
          <w:lang w:val="uk-UA"/>
        </w:rPr>
        <w:t>10.1080/02680513.2019.1677222</w:t>
      </w:r>
    </w:p>
    <w:sectPr w:rsidR="009055BD" w:rsidRPr="009055BD" w:rsidSect="009055B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9F"/>
    <w:rsid w:val="00054238"/>
    <w:rsid w:val="000851FA"/>
    <w:rsid w:val="000E5E47"/>
    <w:rsid w:val="00123AB0"/>
    <w:rsid w:val="001404E0"/>
    <w:rsid w:val="00142E8D"/>
    <w:rsid w:val="00162637"/>
    <w:rsid w:val="001850AE"/>
    <w:rsid w:val="001A0CBF"/>
    <w:rsid w:val="001C6A20"/>
    <w:rsid w:val="002023AE"/>
    <w:rsid w:val="002320CA"/>
    <w:rsid w:val="002659B7"/>
    <w:rsid w:val="00284076"/>
    <w:rsid w:val="002E588D"/>
    <w:rsid w:val="00301F9F"/>
    <w:rsid w:val="00345E65"/>
    <w:rsid w:val="003A2B56"/>
    <w:rsid w:val="003B37AF"/>
    <w:rsid w:val="00407246"/>
    <w:rsid w:val="00435FEE"/>
    <w:rsid w:val="0048593B"/>
    <w:rsid w:val="004C1609"/>
    <w:rsid w:val="004F04B7"/>
    <w:rsid w:val="00544AEC"/>
    <w:rsid w:val="005654C6"/>
    <w:rsid w:val="00665FCE"/>
    <w:rsid w:val="006F080A"/>
    <w:rsid w:val="00714529"/>
    <w:rsid w:val="00763CCF"/>
    <w:rsid w:val="007724D6"/>
    <w:rsid w:val="0078140E"/>
    <w:rsid w:val="007B4A39"/>
    <w:rsid w:val="0081402C"/>
    <w:rsid w:val="0083608D"/>
    <w:rsid w:val="0084127E"/>
    <w:rsid w:val="00883C83"/>
    <w:rsid w:val="008A4EAD"/>
    <w:rsid w:val="008B1538"/>
    <w:rsid w:val="009055BD"/>
    <w:rsid w:val="00913247"/>
    <w:rsid w:val="009138C6"/>
    <w:rsid w:val="00932B00"/>
    <w:rsid w:val="009E6994"/>
    <w:rsid w:val="009E7447"/>
    <w:rsid w:val="00A65593"/>
    <w:rsid w:val="00A93A8A"/>
    <w:rsid w:val="00B4551C"/>
    <w:rsid w:val="00B7487B"/>
    <w:rsid w:val="00C07266"/>
    <w:rsid w:val="00C153D1"/>
    <w:rsid w:val="00C34827"/>
    <w:rsid w:val="00C77C33"/>
    <w:rsid w:val="00CB7E83"/>
    <w:rsid w:val="00CD4AB9"/>
    <w:rsid w:val="00DB4ECC"/>
    <w:rsid w:val="00DE110D"/>
    <w:rsid w:val="00E146A8"/>
    <w:rsid w:val="00E1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78F0"/>
  <w15:chartTrackingRefBased/>
  <w15:docId w15:val="{B77FECF7-12FC-4C3E-AA8A-9A0E0048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0A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320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2024-09-09T15:13:00Z</dcterms:created>
  <dcterms:modified xsi:type="dcterms:W3CDTF">2024-09-09T15:13:00Z</dcterms:modified>
</cp:coreProperties>
</file>