
<file path=[Content_Types].xml><?xml version="1.0" encoding="utf-8"?>
<Types xmlns="http://schemas.openxmlformats.org/package/2006/content-types">
  <Default Extension="ICO" ContentType="image/.ico"/>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E73D9" w14:textId="7BED49E2" w:rsidR="009F7FCE" w:rsidRPr="00EE426C" w:rsidRDefault="00746864" w:rsidP="00C24DEF">
      <w:pPr>
        <w:pStyle w:val="papertitle"/>
      </w:pPr>
      <w:r>
        <w:t>Influence of h</w:t>
      </w:r>
      <w:r w:rsidRPr="00746864">
        <w:t xml:space="preserve">ydrogen </w:t>
      </w:r>
      <w:r>
        <w:t>o</w:t>
      </w:r>
      <w:r w:rsidRPr="00746864">
        <w:t xml:space="preserve">n </w:t>
      </w:r>
      <w:r>
        <w:t xml:space="preserve">deformation </w:t>
      </w:r>
      <w:r w:rsidRPr="00746864">
        <w:t xml:space="preserve">aging </w:t>
      </w:r>
      <w:r w:rsidR="00501BD1">
        <w:rPr>
          <w:lang w:val="uk-UA"/>
        </w:rPr>
        <w:br/>
      </w:r>
      <w:r w:rsidRPr="00746864">
        <w:t>of low</w:t>
      </w:r>
      <w:r w:rsidR="00B52196">
        <w:rPr>
          <w:lang w:val="uk-UA"/>
        </w:rPr>
        <w:t> </w:t>
      </w:r>
      <w:r w:rsidRPr="00746864">
        <w:t xml:space="preserve">alloy steel </w:t>
      </w:r>
      <w:r>
        <w:t xml:space="preserve">during </w:t>
      </w:r>
      <w:r w:rsidRPr="00746864">
        <w:t>operation</w:t>
      </w:r>
    </w:p>
    <w:p w14:paraId="0F9EF44C" w14:textId="737B9AC6" w:rsidR="00C24DEF" w:rsidRPr="0006092F" w:rsidRDefault="00746864" w:rsidP="00A44DBB">
      <w:pPr>
        <w:pStyle w:val="author"/>
        <w:rPr>
          <w:vertAlign w:val="superscript"/>
        </w:rPr>
      </w:pPr>
      <w:r w:rsidRPr="000E4416">
        <w:rPr>
          <w:lang w:val="en-GB"/>
        </w:rPr>
        <w:t>Olha Zvirko</w:t>
      </w:r>
      <w:r>
        <w:rPr>
          <w:rStyle w:val="ORCID"/>
        </w:rPr>
        <w:t>[</w:t>
      </w:r>
      <w:r w:rsidR="0006092F" w:rsidRPr="0006092F">
        <w:rPr>
          <w:rStyle w:val="ORCID"/>
        </w:rPr>
        <w:t>0000-0002-6973-6804</w:t>
      </w:r>
      <w:r>
        <w:rPr>
          <w:rStyle w:val="ORCID"/>
        </w:rPr>
        <w:t>]</w:t>
      </w:r>
      <w:r>
        <w:rPr>
          <w:lang w:val="en-GB"/>
        </w:rPr>
        <w:t xml:space="preserve">, </w:t>
      </w:r>
      <w:r w:rsidRPr="000E4416">
        <w:rPr>
          <w:szCs w:val="26"/>
          <w:lang w:val="en-GB"/>
        </w:rPr>
        <w:t xml:space="preserve">Dmytro </w:t>
      </w:r>
      <w:proofErr w:type="spellStart"/>
      <w:r w:rsidRPr="000E4416">
        <w:rPr>
          <w:szCs w:val="26"/>
          <w:lang w:val="en-GB"/>
        </w:rPr>
        <w:t>Demianchuk</w:t>
      </w:r>
      <w:proofErr w:type="spellEnd"/>
      <w:r>
        <w:t>,</w:t>
      </w:r>
      <w:r w:rsidR="00501BD1">
        <w:rPr>
          <w:lang w:val="uk-UA"/>
        </w:rPr>
        <w:t xml:space="preserve"> </w:t>
      </w:r>
      <w:r w:rsidR="00501BD1">
        <w:rPr>
          <w:lang w:val="uk-UA"/>
        </w:rPr>
        <w:br/>
      </w:r>
      <w:r w:rsidRPr="00A44DBB">
        <w:rPr>
          <w:lang w:val="en-GB"/>
        </w:rPr>
        <w:t>Oleksandr Tsyrulnyk</w:t>
      </w:r>
      <w:r w:rsidR="009B2539" w:rsidRPr="00A44DBB">
        <w:rPr>
          <w:rStyle w:val="ORCID"/>
        </w:rPr>
        <w:t>[</w:t>
      </w:r>
      <w:r w:rsidR="00A44DBB" w:rsidRPr="00A44DBB">
        <w:rPr>
          <w:rStyle w:val="ORCID"/>
        </w:rPr>
        <w:t>0000-0001-9038-966X</w:t>
      </w:r>
      <w:r w:rsidR="009B2539" w:rsidRPr="00A44DBB">
        <w:rPr>
          <w:rStyle w:val="ORCID"/>
        </w:rPr>
        <w:t>]</w:t>
      </w:r>
      <w:r w:rsidRPr="00A44DBB">
        <w:rPr>
          <w:rStyle w:val="ORCID"/>
          <w:vertAlign w:val="baseline"/>
        </w:rPr>
        <w:t xml:space="preserve">, </w:t>
      </w:r>
      <w:r w:rsidR="0006092F" w:rsidRPr="00A44DBB">
        <w:rPr>
          <w:rStyle w:val="ORCID"/>
          <w:vertAlign w:val="baseline"/>
        </w:rPr>
        <w:t xml:space="preserve">Denys </w:t>
      </w:r>
      <w:proofErr w:type="spellStart"/>
      <w:r w:rsidR="0006092F" w:rsidRPr="00A44DBB">
        <w:rPr>
          <w:rStyle w:val="ORCID"/>
          <w:vertAlign w:val="baseline"/>
        </w:rPr>
        <w:t>Bartoshevskyi</w:t>
      </w:r>
      <w:proofErr w:type="spellEnd"/>
    </w:p>
    <w:p w14:paraId="600EBE61" w14:textId="77777777" w:rsidR="00C24DEF" w:rsidRPr="00EE426C" w:rsidRDefault="00746864" w:rsidP="00EE426C">
      <w:pPr>
        <w:pStyle w:val="address"/>
      </w:pPr>
      <w:r w:rsidRPr="00746864">
        <w:t>Karpenko Physico-Mechanical Institute of the National Academy of Sciences of Ukraine, 5, Naukova St.</w:t>
      </w:r>
      <w:r>
        <w:t>,</w:t>
      </w:r>
      <w:r w:rsidRPr="00746864">
        <w:t xml:space="preserve"> Lviv 79060, Ukraine</w:t>
      </w:r>
    </w:p>
    <w:p w14:paraId="30AA86FA" w14:textId="77777777" w:rsidR="00C24DEF" w:rsidRPr="006809AE" w:rsidRDefault="00746864" w:rsidP="006809AE">
      <w:pPr>
        <w:pStyle w:val="address"/>
      </w:pPr>
      <w:r w:rsidRPr="00746864">
        <w:rPr>
          <w:rStyle w:val="e-mail"/>
        </w:rPr>
        <w:t>olha.zvirko@gmail.com</w:t>
      </w:r>
    </w:p>
    <w:p w14:paraId="1908E257" w14:textId="77777777" w:rsidR="002B3A80" w:rsidRDefault="009B2539" w:rsidP="00EE426C">
      <w:pPr>
        <w:pStyle w:val="abstract"/>
        <w:spacing w:after="0"/>
        <w:ind w:firstLine="0"/>
      </w:pPr>
      <w:r w:rsidRPr="00EE426C">
        <w:rPr>
          <w:b/>
          <w:bCs/>
        </w:rPr>
        <w:t>Abstract.</w:t>
      </w:r>
      <w:r w:rsidR="002B3A80">
        <w:t xml:space="preserve"> Deformation </w:t>
      </w:r>
      <w:r w:rsidR="002B3A80" w:rsidRPr="000E4416">
        <w:t xml:space="preserve">aging of steels </w:t>
      </w:r>
      <w:r w:rsidR="002B3A80">
        <w:t xml:space="preserve">results </w:t>
      </w:r>
      <w:r w:rsidR="002B3A80" w:rsidRPr="000E4416">
        <w:t>generally</w:t>
      </w:r>
      <w:r w:rsidR="002B3A80">
        <w:t xml:space="preserve"> in </w:t>
      </w:r>
      <w:r w:rsidR="002B3A80" w:rsidRPr="000E4416">
        <w:t xml:space="preserve">embrittlement. </w:t>
      </w:r>
      <w:r w:rsidR="002B3A80">
        <w:t xml:space="preserve">An assumption of </w:t>
      </w:r>
      <w:r w:rsidR="002B3A80" w:rsidRPr="000E4416">
        <w:t xml:space="preserve">the possibility of </w:t>
      </w:r>
      <w:r w:rsidR="002B3A80">
        <w:t xml:space="preserve">occurrence of deformation </w:t>
      </w:r>
      <w:r w:rsidR="002B3A80" w:rsidRPr="000E4416">
        <w:t xml:space="preserve">ageing </w:t>
      </w:r>
      <w:r w:rsidR="002B3A80">
        <w:t xml:space="preserve">of steels </w:t>
      </w:r>
      <w:r w:rsidR="00551C72">
        <w:t xml:space="preserve">at the microscale due to </w:t>
      </w:r>
      <w:r w:rsidR="00551C72" w:rsidRPr="000E4416">
        <w:t>internal stresses</w:t>
      </w:r>
      <w:r w:rsidR="00551C72">
        <w:t xml:space="preserve"> induced by hydrogen under long-term operation was made. It </w:t>
      </w:r>
      <w:r w:rsidR="00551C72" w:rsidRPr="000E4416">
        <w:t>was substantiated experimental</w:t>
      </w:r>
      <w:r w:rsidR="00551C72">
        <w:t>ly</w:t>
      </w:r>
      <w:r w:rsidR="00551C72" w:rsidRPr="000E4416">
        <w:t xml:space="preserve"> using the low-alloy pipe steel</w:t>
      </w:r>
      <w:r w:rsidR="00551C72">
        <w:t xml:space="preserve"> subjected to </w:t>
      </w:r>
      <w:r w:rsidR="00551C72" w:rsidRPr="000E4416">
        <w:t xml:space="preserve">different </w:t>
      </w:r>
      <w:r w:rsidR="00551C72">
        <w:t xml:space="preserve">treatment with and without preliminary electrolytical hydrogen charging and </w:t>
      </w:r>
      <w:r w:rsidR="00551C72" w:rsidRPr="000E4416">
        <w:t xml:space="preserve">low-temperature tempering. The </w:t>
      </w:r>
      <w:r w:rsidR="00551C72">
        <w:t xml:space="preserve">basic </w:t>
      </w:r>
      <w:r w:rsidR="00551C72" w:rsidRPr="000E4416">
        <w:t>mechanical properties of the steel, impact strength</w:t>
      </w:r>
      <w:r w:rsidR="0065302A">
        <w:t>,</w:t>
      </w:r>
      <w:r w:rsidR="00551C72">
        <w:rPr>
          <w:lang w:val="en-GB"/>
        </w:rPr>
        <w:t xml:space="preserve"> </w:t>
      </w:r>
      <w:r w:rsidR="00551C72" w:rsidRPr="000E4416">
        <w:t>fracture toughness</w:t>
      </w:r>
      <w:r w:rsidR="0065302A">
        <w:t xml:space="preserve">, and </w:t>
      </w:r>
      <w:r w:rsidR="0065302A" w:rsidRPr="000E4416">
        <w:rPr>
          <w:lang w:val="en-GB"/>
        </w:rPr>
        <w:t xml:space="preserve">resistance to stress corrosion cracking </w:t>
      </w:r>
      <w:r w:rsidR="00551C72" w:rsidRPr="000E4416">
        <w:t xml:space="preserve">were assessed. </w:t>
      </w:r>
      <w:r w:rsidR="00551C72">
        <w:t>It was revealed that l</w:t>
      </w:r>
      <w:r w:rsidR="00551C72" w:rsidRPr="000E4416">
        <w:t xml:space="preserve">ow-temperature tempering did not affect the mechanical </w:t>
      </w:r>
      <w:r w:rsidR="0065302A" w:rsidRPr="000E4416">
        <w:t>behavior</w:t>
      </w:r>
      <w:r w:rsidR="00551C72" w:rsidRPr="000E4416">
        <w:t xml:space="preserve"> of the steel. However, the steel subjected to the procedure of combining preliminary hydrogen charging with subsequent low-temperature tempering was characterized by a significant decrease in fracture toughness and resistance to stress corrosion cracking. Hydrogen had an impact on the embrittlement of the steel through the strain aging at local sites being preferable for hydrogen diffusion.</w:t>
      </w:r>
    </w:p>
    <w:p w14:paraId="04DFDBF5" w14:textId="77777777" w:rsidR="00C24DEF" w:rsidRPr="00EE426C" w:rsidRDefault="009B2539" w:rsidP="00EE426C">
      <w:pPr>
        <w:pStyle w:val="keywords"/>
      </w:pPr>
      <w:r w:rsidRPr="00EE426C">
        <w:rPr>
          <w:b/>
          <w:bCs/>
        </w:rPr>
        <w:t>Keywords:</w:t>
      </w:r>
      <w:r w:rsidRPr="00EE426C">
        <w:t xml:space="preserve"> </w:t>
      </w:r>
      <w:r w:rsidR="0006092F">
        <w:t>S</w:t>
      </w:r>
      <w:r w:rsidR="0006092F" w:rsidRPr="0006092F">
        <w:t xml:space="preserve">teel, </w:t>
      </w:r>
      <w:r w:rsidR="0006092F">
        <w:t>Deformation</w:t>
      </w:r>
      <w:r w:rsidR="0006092F" w:rsidRPr="0006092F">
        <w:t xml:space="preserve"> aging, </w:t>
      </w:r>
      <w:r w:rsidR="0006092F">
        <w:t>H</w:t>
      </w:r>
      <w:r w:rsidR="0006092F" w:rsidRPr="0006092F">
        <w:t xml:space="preserve">ydrogen, </w:t>
      </w:r>
      <w:r w:rsidR="0006092F">
        <w:t>E</w:t>
      </w:r>
      <w:r w:rsidR="0006092F" w:rsidRPr="0006092F">
        <w:t>mbrittlement,</w:t>
      </w:r>
      <w:r w:rsidR="0006092F">
        <w:t xml:space="preserve"> R</w:t>
      </w:r>
      <w:r w:rsidR="0006092F" w:rsidRPr="0006092F">
        <w:t>esidual stress</w:t>
      </w:r>
      <w:r>
        <w:t>.</w:t>
      </w:r>
    </w:p>
    <w:p w14:paraId="1B05E9E6" w14:textId="77777777" w:rsidR="00BA764E" w:rsidRPr="00BA764E" w:rsidRDefault="00BA764E" w:rsidP="00BA764E">
      <w:pPr>
        <w:pStyle w:val="heading1"/>
      </w:pPr>
      <w:r w:rsidRPr="00BA764E">
        <w:t>Introduction</w:t>
      </w:r>
    </w:p>
    <w:p w14:paraId="4CEAD041" w14:textId="77777777" w:rsidR="00BA764E" w:rsidRPr="000E4416" w:rsidRDefault="00BA764E" w:rsidP="00BA764E">
      <w:pPr>
        <w:pStyle w:val="Els-body-text"/>
        <w:ind w:right="-28" w:firstLine="0"/>
        <w:rPr>
          <w:lang w:val="en-GB"/>
        </w:rPr>
      </w:pPr>
      <w:r>
        <w:rPr>
          <w:lang w:val="en-GB"/>
        </w:rPr>
        <w:t xml:space="preserve">Deformation </w:t>
      </w:r>
      <w:r w:rsidRPr="000E4416">
        <w:rPr>
          <w:lang w:val="en-GB"/>
        </w:rPr>
        <w:t>aging of steels consists in the fixation of carbon and nitrogen atoms on dislocations, known as the formation of Cottrell clouds. This complicates the plastic deformation of the metal, which causes its embrittlement</w:t>
      </w:r>
      <w:r>
        <w:rPr>
          <w:lang w:val="en-GB"/>
        </w:rPr>
        <w:t xml:space="preserve"> [</w:t>
      </w:r>
      <w:r w:rsidR="001D4378">
        <w:rPr>
          <w:lang w:val="uk-UA"/>
        </w:rPr>
        <w:t>1–3</w:t>
      </w:r>
      <w:r>
        <w:rPr>
          <w:lang w:val="en-GB"/>
        </w:rPr>
        <w:t>]</w:t>
      </w:r>
      <w:r w:rsidRPr="000E4416">
        <w:rPr>
          <w:lang w:val="en-GB"/>
        </w:rPr>
        <w:t xml:space="preserve">. The standard DSTU 9166:2021 regulates the procedure of deformation aging of steels in laboratory. </w:t>
      </w:r>
      <w:r w:rsidR="00B0214F">
        <w:rPr>
          <w:lang w:val="en-GB"/>
        </w:rPr>
        <w:t>D</w:t>
      </w:r>
      <w:r w:rsidRPr="000E4416">
        <w:rPr>
          <w:lang w:val="en-GB"/>
        </w:rPr>
        <w:t>eformation aging involves two main steps: first, the plastic deformation of the metal, which activates sources of dislocation generation, and second, moderate and relatively short-term heating of the deformed metal to facilitate the diffusion of interstitial atoms such as carbon and nitrogen to dislocations to form atmospheres around them.</w:t>
      </w:r>
    </w:p>
    <w:p w14:paraId="67443430" w14:textId="77777777" w:rsidR="00BA764E" w:rsidRPr="000E4416" w:rsidRDefault="00BA764E" w:rsidP="00F111F7">
      <w:pPr>
        <w:rPr>
          <w:lang w:val="en-GB"/>
        </w:rPr>
      </w:pPr>
      <w:r w:rsidRPr="000E4416">
        <w:rPr>
          <w:lang w:val="en-GB"/>
        </w:rPr>
        <w:lastRenderedPageBreak/>
        <w:t>I</w:t>
      </w:r>
      <w:r>
        <w:rPr>
          <w:lang w:val="en-GB"/>
        </w:rPr>
        <w:t xml:space="preserve">t is </w:t>
      </w:r>
      <w:r w:rsidRPr="000E4416">
        <w:rPr>
          <w:lang w:val="en-GB"/>
        </w:rPr>
        <w:t>well-known</w:t>
      </w:r>
      <w:r>
        <w:rPr>
          <w:lang w:val="en-GB"/>
        </w:rPr>
        <w:t xml:space="preserve"> that</w:t>
      </w:r>
      <w:r w:rsidRPr="000E4416">
        <w:rPr>
          <w:lang w:val="en-GB"/>
        </w:rPr>
        <w:t xml:space="preserve"> electrolytic hydrogen charging </w:t>
      </w:r>
      <w:r>
        <w:rPr>
          <w:lang w:val="en-GB"/>
        </w:rPr>
        <w:t xml:space="preserve">of steels lead to </w:t>
      </w:r>
      <w:r w:rsidRPr="000E4416">
        <w:rPr>
          <w:lang w:val="en-GB"/>
        </w:rPr>
        <w:t xml:space="preserve">internal stresses </w:t>
      </w:r>
      <w:r>
        <w:rPr>
          <w:lang w:val="en-GB"/>
        </w:rPr>
        <w:t>[</w:t>
      </w:r>
      <w:r w:rsidR="00B0214F">
        <w:rPr>
          <w:lang w:val="en-GB"/>
        </w:rPr>
        <w:t>4, 5</w:t>
      </w:r>
      <w:r>
        <w:rPr>
          <w:lang w:val="en-GB"/>
        </w:rPr>
        <w:t>]</w:t>
      </w:r>
      <w:r w:rsidRPr="000E4416">
        <w:rPr>
          <w:lang w:val="en-GB"/>
        </w:rPr>
        <w:t xml:space="preserve">. </w:t>
      </w:r>
      <w:r>
        <w:rPr>
          <w:lang w:val="en-GB"/>
        </w:rPr>
        <w:t>It was</w:t>
      </w:r>
      <w:r w:rsidRPr="000E4416">
        <w:rPr>
          <w:lang w:val="en-GB"/>
        </w:rPr>
        <w:t xml:space="preserve"> assumed that the internal stresses induced by hydrogen</w:t>
      </w:r>
      <w:r>
        <w:rPr>
          <w:lang w:val="en-GB"/>
        </w:rPr>
        <w:t xml:space="preserve"> charging </w:t>
      </w:r>
      <w:r w:rsidRPr="000E4416">
        <w:rPr>
          <w:lang w:val="en-GB"/>
        </w:rPr>
        <w:t xml:space="preserve">could reach such a high level as to cause microplastic deformation at certain local microstructural sites, accompanied by the generation of dislocations. These </w:t>
      </w:r>
      <w:r w:rsidRPr="00F111F7">
        <w:t>localized</w:t>
      </w:r>
      <w:r w:rsidRPr="000E4416">
        <w:rPr>
          <w:lang w:val="en-GB"/>
        </w:rPr>
        <w:t xml:space="preserve"> areas within the metal serve as traps for hydrogen</w:t>
      </w:r>
      <w:r w:rsidR="00B0214F">
        <w:rPr>
          <w:lang w:val="en-GB"/>
        </w:rPr>
        <w:t xml:space="preserve"> and</w:t>
      </w:r>
      <w:r w:rsidRPr="000E4416">
        <w:rPr>
          <w:lang w:val="en-GB"/>
        </w:rPr>
        <w:t xml:space="preserve"> contributes to the accumulation of </w:t>
      </w:r>
      <w:r w:rsidR="00B0214F">
        <w:rPr>
          <w:lang w:val="en-GB"/>
        </w:rPr>
        <w:t xml:space="preserve">high </w:t>
      </w:r>
      <w:r w:rsidR="00B0214F" w:rsidRPr="000E4416">
        <w:rPr>
          <w:lang w:val="en-GB"/>
        </w:rPr>
        <w:t xml:space="preserve">pressure </w:t>
      </w:r>
      <w:r w:rsidRPr="000E4416">
        <w:rPr>
          <w:lang w:val="en-GB"/>
        </w:rPr>
        <w:t xml:space="preserve">molecular hydrogen in them. Therefore, the hydrogenation of steels can serve as a source of dislocation generation even without the previous plastic deformation at the macroscale. This is one of the necessary conditions for implementing the </w:t>
      </w:r>
      <w:r w:rsidR="00AE4A13">
        <w:rPr>
          <w:lang w:val="en-GB"/>
        </w:rPr>
        <w:t>d</w:t>
      </w:r>
      <w:r w:rsidR="00AE4A13" w:rsidRPr="000E4416">
        <w:rPr>
          <w:lang w:val="en-GB"/>
        </w:rPr>
        <w:t>eformation aging</w:t>
      </w:r>
      <w:r w:rsidRPr="000E4416">
        <w:rPr>
          <w:lang w:val="en-GB"/>
        </w:rPr>
        <w:t>. However, the requirement for subsequent heating of the metal after hydrogen charging remains the same. In the presented paper, this assumption was confirmed experimentally u</w:t>
      </w:r>
      <w:r w:rsidR="00AE4A13">
        <w:rPr>
          <w:lang w:val="en-GB"/>
        </w:rPr>
        <w:t xml:space="preserve">sing </w:t>
      </w:r>
      <w:r w:rsidRPr="000E4416">
        <w:rPr>
          <w:lang w:val="en-GB"/>
        </w:rPr>
        <w:t>the low-alloyed pipeline steel 17H1S.</w:t>
      </w:r>
    </w:p>
    <w:p w14:paraId="3E9308D4" w14:textId="77777777" w:rsidR="00F111F7" w:rsidRPr="000E4416" w:rsidRDefault="00F111F7" w:rsidP="00F111F7">
      <w:pPr>
        <w:pStyle w:val="heading1"/>
        <w:rPr>
          <w:lang w:val="en-GB"/>
        </w:rPr>
      </w:pPr>
      <w:r w:rsidRPr="000E4416">
        <w:rPr>
          <w:lang w:val="en-GB"/>
        </w:rPr>
        <w:t>Experiment</w:t>
      </w:r>
      <w:r>
        <w:rPr>
          <w:lang w:val="en-GB"/>
        </w:rPr>
        <w:t>al</w:t>
      </w:r>
      <w:r w:rsidR="0065302A">
        <w:rPr>
          <w:lang w:val="en-GB"/>
        </w:rPr>
        <w:t xml:space="preserve">, </w:t>
      </w:r>
      <w:r w:rsidR="0065302A" w:rsidRPr="000E4416">
        <w:rPr>
          <w:lang w:val="en-GB"/>
        </w:rPr>
        <w:t xml:space="preserve">Results and </w:t>
      </w:r>
      <w:r w:rsidR="0065302A">
        <w:rPr>
          <w:lang w:val="en-GB"/>
        </w:rPr>
        <w:t>A</w:t>
      </w:r>
      <w:r w:rsidR="0065302A" w:rsidRPr="000E4416">
        <w:rPr>
          <w:lang w:val="en-GB"/>
        </w:rPr>
        <w:t>nalysis</w:t>
      </w:r>
    </w:p>
    <w:p w14:paraId="29C67C5E" w14:textId="630CFBAB" w:rsidR="00F111F7" w:rsidRDefault="00F111F7" w:rsidP="001D7B05">
      <w:pPr>
        <w:pStyle w:val="Els-body-text"/>
        <w:ind w:right="-28" w:firstLine="0"/>
        <w:rPr>
          <w:lang w:val="en-GB"/>
        </w:rPr>
      </w:pPr>
      <w:r w:rsidRPr="000E4416">
        <w:rPr>
          <w:rFonts w:eastAsia="AdvGulliv-R"/>
          <w:lang w:val="en-GB" w:eastAsia="en-IN"/>
        </w:rPr>
        <w:t xml:space="preserve">A series of </w:t>
      </w:r>
      <w:r w:rsidRPr="000E4416">
        <w:rPr>
          <w:lang w:val="en-GB"/>
        </w:rPr>
        <w:t>specimens</w:t>
      </w:r>
      <w:r w:rsidRPr="000E4416">
        <w:rPr>
          <w:rFonts w:eastAsia="AdvGulliv-R"/>
          <w:lang w:val="en-GB" w:eastAsia="en-IN"/>
        </w:rPr>
        <w:t xml:space="preserve"> were tested:</w:t>
      </w:r>
      <w:r w:rsidR="0065302A">
        <w:rPr>
          <w:rFonts w:eastAsia="AdvGulliv-R"/>
          <w:lang w:val="en-GB" w:eastAsia="en-IN"/>
        </w:rPr>
        <w:t xml:space="preserve"> </w:t>
      </w:r>
      <w:r w:rsidRPr="000E4416">
        <w:rPr>
          <w:rFonts w:eastAsia="AdvGulliv-R"/>
          <w:lang w:eastAsia="en-IN"/>
        </w:rPr>
        <w:t>in as-delivered state;</w:t>
      </w:r>
      <w:r w:rsidR="0065302A">
        <w:rPr>
          <w:rFonts w:eastAsia="AdvGulliv-R"/>
          <w:lang w:eastAsia="en-IN"/>
        </w:rPr>
        <w:t xml:space="preserve"> </w:t>
      </w:r>
      <w:r w:rsidRPr="000E4416">
        <w:t>after low-temperature tempering for 1 hour at 250 ºС (LTT250);</w:t>
      </w:r>
      <w:r w:rsidR="0065302A">
        <w:t xml:space="preserve"> </w:t>
      </w:r>
      <w:r w:rsidRPr="000E4416">
        <w:rPr>
          <w:rStyle w:val="longtext"/>
        </w:rPr>
        <w:t xml:space="preserve">after in-laboratory </w:t>
      </w:r>
      <w:r w:rsidRPr="000E4416">
        <w:t xml:space="preserve">preliminary electrochemical hydrogen (PEH) charging followed by low-temperature tempering for 1 hour at 250 ºС (PEH + LTT250). PEH charging of specimens was carried </w:t>
      </w:r>
      <w:r w:rsidRPr="000E4416">
        <w:rPr>
          <w:rFonts w:eastAsia="AdvGulliv-R"/>
          <w:lang w:eastAsia="en-IN"/>
        </w:rPr>
        <w:t xml:space="preserve">at a </w:t>
      </w:r>
      <w:r w:rsidRPr="000E4416">
        <w:rPr>
          <w:shd w:val="clear" w:color="auto" w:fill="FFFFFF"/>
        </w:rPr>
        <w:t xml:space="preserve">current density 50 </w:t>
      </w:r>
      <w:proofErr w:type="spellStart"/>
      <w:r w:rsidRPr="000E4416">
        <w:t>mА</w:t>
      </w:r>
      <w:proofErr w:type="spellEnd"/>
      <w:r w:rsidRPr="000E4416">
        <w:t>/сm</w:t>
      </w:r>
      <w:r w:rsidRPr="000E4416">
        <w:rPr>
          <w:vertAlign w:val="superscript"/>
        </w:rPr>
        <w:t>2</w:t>
      </w:r>
      <w:r w:rsidRPr="000E4416">
        <w:t xml:space="preserve"> </w:t>
      </w:r>
      <w:r w:rsidRPr="000E4416">
        <w:rPr>
          <w:shd w:val="clear" w:color="auto" w:fill="FFFFFF"/>
        </w:rPr>
        <w:t>for 10</w:t>
      </w:r>
      <w:r w:rsidRPr="000E4416">
        <w:t>0 hours</w:t>
      </w:r>
      <w:r w:rsidRPr="000E4416">
        <w:rPr>
          <w:shd w:val="clear" w:color="auto" w:fill="FFFFFF"/>
        </w:rPr>
        <w:t xml:space="preserve"> in an aqueous</w:t>
      </w:r>
      <w:r w:rsidRPr="000E4416">
        <w:t xml:space="preserve"> </w:t>
      </w:r>
      <w:r w:rsidR="0065302A">
        <w:t>H</w:t>
      </w:r>
      <w:r w:rsidR="0065302A">
        <w:rPr>
          <w:vertAlign w:val="subscript"/>
        </w:rPr>
        <w:t>2</w:t>
      </w:r>
      <w:r w:rsidR="0065302A">
        <w:t>SO</w:t>
      </w:r>
      <w:r w:rsidR="0065302A">
        <w:rPr>
          <w:vertAlign w:val="subscript"/>
        </w:rPr>
        <w:t>4</w:t>
      </w:r>
      <w:r w:rsidR="0065302A">
        <w:t xml:space="preserve"> </w:t>
      </w:r>
      <w:r w:rsidRPr="000E4416">
        <w:rPr>
          <w:shd w:val="clear" w:color="auto" w:fill="FFFFFF"/>
        </w:rPr>
        <w:t>solution (pH2.0)</w:t>
      </w:r>
      <w:r w:rsidRPr="000E4416">
        <w:rPr>
          <w:rFonts w:eastAsia="AdvGulliv-R"/>
          <w:lang w:eastAsia="en-IN"/>
        </w:rPr>
        <w:t xml:space="preserve"> with adding 2</w:t>
      </w:r>
      <w:r w:rsidR="00501BD1">
        <w:rPr>
          <w:shd w:val="clear" w:color="auto" w:fill="FFFFFF"/>
          <w:lang w:val="uk-UA"/>
        </w:rPr>
        <w:t> </w:t>
      </w:r>
      <w:r w:rsidRPr="000E4416">
        <w:rPr>
          <w:shd w:val="clear" w:color="auto" w:fill="FFFFFF"/>
        </w:rPr>
        <w:t>g/l thiourea</w:t>
      </w:r>
      <w:r w:rsidRPr="000E4416">
        <w:t>.</w:t>
      </w:r>
      <w:r w:rsidR="001D7B05">
        <w:t xml:space="preserve"> </w:t>
      </w:r>
      <w:bookmarkStart w:id="0" w:name="_heading=h.ph70a63inb14" w:colFirst="0" w:colLast="0"/>
      <w:bookmarkEnd w:id="0"/>
      <w:r w:rsidRPr="000E4416">
        <w:rPr>
          <w:lang w:val="en-GB"/>
        </w:rPr>
        <w:t xml:space="preserve">All specimens were </w:t>
      </w:r>
      <w:r w:rsidR="001D7B05">
        <w:rPr>
          <w:lang w:val="en-GB"/>
        </w:rPr>
        <w:t>cut out</w:t>
      </w:r>
      <w:r w:rsidRPr="000E4416">
        <w:rPr>
          <w:lang w:val="en-GB"/>
        </w:rPr>
        <w:t xml:space="preserve"> from the pipe longitudinally oriented re</w:t>
      </w:r>
      <w:r w:rsidR="00F87370">
        <w:rPr>
          <w:lang w:val="en-GB"/>
        </w:rPr>
        <w:t xml:space="preserve">lative </w:t>
      </w:r>
      <w:r w:rsidRPr="000E4416">
        <w:rPr>
          <w:lang w:val="en-GB"/>
        </w:rPr>
        <w:t xml:space="preserve">to the pipe axis. </w:t>
      </w:r>
      <w:r w:rsidR="001D7B05">
        <w:rPr>
          <w:lang w:val="en-GB"/>
        </w:rPr>
        <w:t xml:space="preserve">Basic </w:t>
      </w:r>
      <w:r w:rsidR="00F87370">
        <w:rPr>
          <w:lang w:val="en-GB"/>
        </w:rPr>
        <w:t xml:space="preserve">mechanical </w:t>
      </w:r>
      <w:r w:rsidRPr="000E4416">
        <w:rPr>
          <w:lang w:val="en-GB"/>
        </w:rPr>
        <w:t xml:space="preserve">characteristics, as well as </w:t>
      </w:r>
      <w:r w:rsidR="0065302A" w:rsidRPr="000E4416">
        <w:rPr>
          <w:lang w:val="en-GB"/>
        </w:rPr>
        <w:t>resistance to stress corrosion cracking (SCC)</w:t>
      </w:r>
      <w:r w:rsidRPr="000E4416">
        <w:rPr>
          <w:lang w:val="en-GB"/>
        </w:rPr>
        <w:t>, were determined by tension tests of cylindrical specimens with a diameter and a gauge length of 5 mm and 25 mm, respectively. The strain rate was 3×10</w:t>
      </w:r>
      <w:r w:rsidRPr="000E4416">
        <w:rPr>
          <w:vertAlign w:val="superscript"/>
          <w:lang w:val="en-GB"/>
        </w:rPr>
        <w:t>-3</w:t>
      </w:r>
      <w:r w:rsidRPr="000E4416">
        <w:rPr>
          <w:lang w:val="en-GB"/>
        </w:rPr>
        <w:t xml:space="preserve"> s</w:t>
      </w:r>
      <w:r w:rsidRPr="000E4416">
        <w:rPr>
          <w:vertAlign w:val="superscript"/>
          <w:lang w:val="en-GB"/>
        </w:rPr>
        <w:t>-1</w:t>
      </w:r>
      <w:r w:rsidR="0065302A" w:rsidRPr="0065302A">
        <w:rPr>
          <w:lang w:val="en-GB"/>
        </w:rPr>
        <w:t xml:space="preserve"> </w:t>
      </w:r>
      <w:r w:rsidR="0065302A">
        <w:rPr>
          <w:lang w:val="en-GB"/>
        </w:rPr>
        <w:t xml:space="preserve">and </w:t>
      </w:r>
      <w:r w:rsidR="0065302A" w:rsidRPr="000E4416">
        <w:rPr>
          <w:lang w:val="en-GB"/>
        </w:rPr>
        <w:t>3×10</w:t>
      </w:r>
      <w:r w:rsidR="0065302A" w:rsidRPr="000E4416">
        <w:rPr>
          <w:vertAlign w:val="superscript"/>
          <w:lang w:val="en-GB"/>
        </w:rPr>
        <w:t>-7</w:t>
      </w:r>
      <w:r w:rsidR="0065302A" w:rsidRPr="000E4416">
        <w:rPr>
          <w:lang w:val="en-GB"/>
        </w:rPr>
        <w:t xml:space="preserve"> s</w:t>
      </w:r>
      <w:r w:rsidR="0065302A" w:rsidRPr="000E4416">
        <w:rPr>
          <w:vertAlign w:val="superscript"/>
          <w:lang w:val="en-GB"/>
        </w:rPr>
        <w:t>-1</w:t>
      </w:r>
      <w:r w:rsidR="0065302A" w:rsidRPr="0065302A">
        <w:rPr>
          <w:lang w:val="en-GB"/>
        </w:rPr>
        <w:t xml:space="preserve"> </w:t>
      </w:r>
      <w:r w:rsidR="0065302A" w:rsidRPr="000E4416">
        <w:rPr>
          <w:lang w:val="en-GB"/>
        </w:rPr>
        <w:t>in air</w:t>
      </w:r>
      <w:r w:rsidR="0065302A">
        <w:rPr>
          <w:lang w:val="en-GB"/>
        </w:rPr>
        <w:t xml:space="preserve"> and </w:t>
      </w:r>
      <w:r w:rsidR="0065302A" w:rsidRPr="000E4416">
        <w:rPr>
          <w:lang w:val="en-GB"/>
        </w:rPr>
        <w:t>NS4 test solution</w:t>
      </w:r>
      <w:r w:rsidRPr="000E4416">
        <w:rPr>
          <w:lang w:val="en-GB"/>
        </w:rPr>
        <w:t xml:space="preserve">, </w:t>
      </w:r>
      <w:r w:rsidR="0065302A">
        <w:rPr>
          <w:lang w:val="en-GB"/>
        </w:rPr>
        <w:t>respectively</w:t>
      </w:r>
      <w:r w:rsidRPr="000E4416">
        <w:rPr>
          <w:lang w:val="en-GB"/>
        </w:rPr>
        <w:t xml:space="preserve">. Charpy impact toughness (KCV) and fracture toughness by the J-integral method </w:t>
      </w:r>
      <w:r w:rsidR="0065302A">
        <w:rPr>
          <w:lang w:val="en-GB"/>
        </w:rPr>
        <w:t>(</w:t>
      </w:r>
      <w:r w:rsidRPr="000E4416">
        <w:rPr>
          <w:lang w:val="en-GB"/>
        </w:rPr>
        <w:t>standard ASTM E 813</w:t>
      </w:r>
      <w:r w:rsidR="0065302A">
        <w:rPr>
          <w:lang w:val="en-GB"/>
        </w:rPr>
        <w:t xml:space="preserve">) were </w:t>
      </w:r>
      <w:r w:rsidR="001D7B05">
        <w:rPr>
          <w:lang w:val="en-GB"/>
        </w:rPr>
        <w:t xml:space="preserve">also </w:t>
      </w:r>
      <w:r w:rsidR="0065302A">
        <w:rPr>
          <w:lang w:val="en-GB"/>
        </w:rPr>
        <w:t>determined</w:t>
      </w:r>
      <w:r w:rsidRPr="000E4416">
        <w:rPr>
          <w:lang w:val="en-GB"/>
        </w:rPr>
        <w:t xml:space="preserve">. Table </w:t>
      </w:r>
      <w:r>
        <w:rPr>
          <w:lang w:val="en-GB"/>
        </w:rPr>
        <w:t>1</w:t>
      </w:r>
      <w:r w:rsidRPr="000E4416">
        <w:rPr>
          <w:lang w:val="en-GB"/>
        </w:rPr>
        <w:t xml:space="preserve"> summarizes the mechanical properties of the 17H1S steel in different treated states. </w:t>
      </w:r>
    </w:p>
    <w:p w14:paraId="3E9DE356" w14:textId="610786FF" w:rsidR="001D7B05" w:rsidRDefault="001D7B05" w:rsidP="001D7B05">
      <w:pPr>
        <w:pStyle w:val="Els-body-text"/>
        <w:ind w:right="-28"/>
        <w:rPr>
          <w:lang w:val="en-GB"/>
        </w:rPr>
      </w:pPr>
      <w:r w:rsidRPr="000E4416">
        <w:rPr>
          <w:lang w:val="en-GB"/>
        </w:rPr>
        <w:t xml:space="preserve">The low-temperature tempering (LTT250) had no significant </w:t>
      </w:r>
      <w:r w:rsidR="00F87370">
        <w:rPr>
          <w:lang w:val="en-GB"/>
        </w:rPr>
        <w:t xml:space="preserve">effect </w:t>
      </w:r>
      <w:r w:rsidRPr="000E4416">
        <w:rPr>
          <w:lang w:val="en-GB"/>
        </w:rPr>
        <w:t xml:space="preserve">on the mechanical </w:t>
      </w:r>
      <w:r w:rsidR="00F87370">
        <w:rPr>
          <w:lang w:val="en-GB"/>
        </w:rPr>
        <w:t xml:space="preserve">behaviour </w:t>
      </w:r>
      <w:r w:rsidRPr="000E4416">
        <w:rPr>
          <w:lang w:val="en-GB"/>
        </w:rPr>
        <w:t xml:space="preserve">of the investigated steel. Combining PEH with low-temperature tempering for 1 hour at 250 ºС according to the (PEH + LTT250) regime, while not affecting the strength, plasticity, and impact toughness of the steel, slightly reduced its fracture toughness (by approximately 10%) and noticeably decreased its SCC resistance (the </w:t>
      </w:r>
      <w:r w:rsidR="008E186F">
        <w:rPr>
          <w:lang w:val="en-GB"/>
        </w:rPr>
        <w:t>r</w:t>
      </w:r>
      <w:r w:rsidR="008E186F" w:rsidRPr="008E186F">
        <w:rPr>
          <w:lang w:val="en-GB"/>
        </w:rPr>
        <w:t xml:space="preserve">eduction in area </w:t>
      </w:r>
      <w:r w:rsidRPr="000E4416">
        <w:rPr>
          <w:lang w:val="en-GB"/>
        </w:rPr>
        <w:t xml:space="preserve">RA </w:t>
      </w:r>
      <w:r w:rsidR="008E186F">
        <w:rPr>
          <w:lang w:val="en-GB"/>
        </w:rPr>
        <w:t xml:space="preserve">reduced </w:t>
      </w:r>
      <w:r w:rsidRPr="000E4416">
        <w:rPr>
          <w:lang w:val="en-GB"/>
        </w:rPr>
        <w:t>from 69% to 53%).</w:t>
      </w:r>
    </w:p>
    <w:p w14:paraId="4A273521" w14:textId="3EBDA2FE" w:rsidR="00F111F7" w:rsidRDefault="00F111F7" w:rsidP="00F111F7">
      <w:pPr>
        <w:pStyle w:val="tablecaption"/>
      </w:pPr>
      <w:r>
        <w:rPr>
          <w:b/>
        </w:rPr>
        <w:lastRenderedPageBreak/>
        <w:t xml:space="preserve">Table </w:t>
      </w:r>
      <w:r>
        <w:rPr>
          <w:b/>
        </w:rPr>
        <w:fldChar w:fldCharType="begin"/>
      </w:r>
      <w:r>
        <w:rPr>
          <w:b/>
        </w:rPr>
        <w:instrText xml:space="preserve"> SEQ "Table" \* MERGEFORMAT </w:instrText>
      </w:r>
      <w:r>
        <w:rPr>
          <w:b/>
        </w:rPr>
        <w:fldChar w:fldCharType="separate"/>
      </w:r>
      <w:r w:rsidR="0046388C">
        <w:rPr>
          <w:b/>
          <w:noProof/>
        </w:rPr>
        <w:t>1</w:t>
      </w:r>
      <w:r>
        <w:rPr>
          <w:b/>
        </w:rPr>
        <w:fldChar w:fldCharType="end"/>
      </w:r>
      <w:r>
        <w:rPr>
          <w:b/>
        </w:rPr>
        <w:t>.</w:t>
      </w:r>
      <w:r>
        <w:t xml:space="preserve"> </w:t>
      </w:r>
      <w:r w:rsidRPr="00F111F7">
        <w:t>Mechanical properties and SCC resistance of the studied pipeline steel 17H1S in different states</w:t>
      </w:r>
      <w:r>
        <w:t>.</w:t>
      </w:r>
    </w:p>
    <w:tbl>
      <w:tblPr>
        <w:tblW w:w="6826" w:type="dxa"/>
        <w:jc w:val="center"/>
        <w:tblLayout w:type="fixed"/>
        <w:tblCellMar>
          <w:left w:w="70" w:type="dxa"/>
          <w:right w:w="70" w:type="dxa"/>
        </w:tblCellMar>
        <w:tblLook w:val="0000" w:firstRow="0" w:lastRow="0" w:firstColumn="0" w:lastColumn="0" w:noHBand="0" w:noVBand="0"/>
      </w:tblPr>
      <w:tblGrid>
        <w:gridCol w:w="1578"/>
        <w:gridCol w:w="975"/>
        <w:gridCol w:w="1027"/>
        <w:gridCol w:w="946"/>
        <w:gridCol w:w="1166"/>
        <w:gridCol w:w="1134"/>
      </w:tblGrid>
      <w:tr w:rsidR="00F111F7" w:rsidRPr="009A3755" w14:paraId="0C4D2F45" w14:textId="77777777" w:rsidTr="00F111F7">
        <w:trPr>
          <w:jc w:val="center"/>
        </w:trPr>
        <w:tc>
          <w:tcPr>
            <w:tcW w:w="1578" w:type="dxa"/>
            <w:tcBorders>
              <w:top w:val="single" w:sz="12" w:space="0" w:color="000000"/>
              <w:bottom w:val="single" w:sz="6" w:space="0" w:color="000000"/>
            </w:tcBorders>
          </w:tcPr>
          <w:p w14:paraId="5D2E197D" w14:textId="77777777" w:rsidR="00F111F7" w:rsidRPr="00F111F7" w:rsidRDefault="00F111F7" w:rsidP="00D0685F">
            <w:pPr>
              <w:ind w:firstLine="0"/>
              <w:jc w:val="left"/>
              <w:rPr>
                <w:sz w:val="18"/>
                <w:szCs w:val="18"/>
              </w:rPr>
            </w:pPr>
            <w:r w:rsidRPr="00F111F7">
              <w:rPr>
                <w:sz w:val="18"/>
                <w:szCs w:val="18"/>
              </w:rPr>
              <w:t>Steel state</w:t>
            </w:r>
          </w:p>
        </w:tc>
        <w:tc>
          <w:tcPr>
            <w:tcW w:w="975" w:type="dxa"/>
            <w:tcBorders>
              <w:top w:val="single" w:sz="12" w:space="0" w:color="000000"/>
              <w:bottom w:val="single" w:sz="6" w:space="0" w:color="000000"/>
            </w:tcBorders>
          </w:tcPr>
          <w:p w14:paraId="4C94BCD5" w14:textId="09F1C45F" w:rsidR="00F111F7" w:rsidRPr="00F111F7" w:rsidRDefault="00F111F7" w:rsidP="00D0685F">
            <w:pPr>
              <w:ind w:firstLine="0"/>
              <w:jc w:val="left"/>
              <w:rPr>
                <w:sz w:val="18"/>
                <w:szCs w:val="18"/>
              </w:rPr>
            </w:pPr>
            <w:r w:rsidRPr="00F111F7">
              <w:rPr>
                <w:sz w:val="18"/>
                <w:szCs w:val="18"/>
              </w:rPr>
              <w:t xml:space="preserve">Ultimate strength </w:t>
            </w:r>
            <w:r w:rsidR="008E186F" w:rsidRPr="00F111F7">
              <w:rPr>
                <w:sz w:val="18"/>
                <w:szCs w:val="18"/>
              </w:rPr>
              <w:br/>
            </w:r>
            <w:proofErr w:type="spellStart"/>
            <w:r w:rsidRPr="00F111F7">
              <w:rPr>
                <w:sz w:val="18"/>
                <w:szCs w:val="18"/>
              </w:rPr>
              <w:t>σ</w:t>
            </w:r>
            <w:r w:rsidRPr="00F111F7">
              <w:rPr>
                <w:sz w:val="18"/>
                <w:szCs w:val="18"/>
                <w:vertAlign w:val="subscript"/>
              </w:rPr>
              <w:t>UTS</w:t>
            </w:r>
            <w:proofErr w:type="spellEnd"/>
            <w:r w:rsidRPr="00F111F7">
              <w:rPr>
                <w:sz w:val="18"/>
                <w:szCs w:val="18"/>
              </w:rPr>
              <w:t xml:space="preserve"> [MPa]</w:t>
            </w:r>
          </w:p>
        </w:tc>
        <w:tc>
          <w:tcPr>
            <w:tcW w:w="1027" w:type="dxa"/>
            <w:tcBorders>
              <w:top w:val="single" w:sz="12" w:space="0" w:color="000000"/>
              <w:bottom w:val="single" w:sz="6" w:space="0" w:color="000000"/>
            </w:tcBorders>
          </w:tcPr>
          <w:p w14:paraId="011D0ADA" w14:textId="77777777" w:rsidR="00F111F7" w:rsidRPr="00F111F7" w:rsidRDefault="00F111F7" w:rsidP="00D0685F">
            <w:pPr>
              <w:ind w:firstLine="0"/>
              <w:jc w:val="left"/>
              <w:rPr>
                <w:sz w:val="18"/>
                <w:szCs w:val="18"/>
              </w:rPr>
            </w:pPr>
            <w:r w:rsidRPr="00F111F7">
              <w:rPr>
                <w:sz w:val="18"/>
                <w:szCs w:val="18"/>
              </w:rPr>
              <w:t>Yield strength</w:t>
            </w:r>
            <w:r w:rsidRPr="00F111F7">
              <w:rPr>
                <w:sz w:val="18"/>
                <w:szCs w:val="18"/>
              </w:rPr>
              <w:br/>
            </w:r>
            <w:proofErr w:type="spellStart"/>
            <w:r w:rsidRPr="00F111F7">
              <w:rPr>
                <w:sz w:val="18"/>
                <w:szCs w:val="18"/>
              </w:rPr>
              <w:t>σ</w:t>
            </w:r>
            <w:r w:rsidRPr="00F111F7">
              <w:rPr>
                <w:sz w:val="18"/>
                <w:szCs w:val="18"/>
                <w:vertAlign w:val="subscript"/>
              </w:rPr>
              <w:t>YS</w:t>
            </w:r>
            <w:proofErr w:type="spellEnd"/>
            <w:r w:rsidRPr="00F111F7">
              <w:rPr>
                <w:sz w:val="18"/>
                <w:szCs w:val="18"/>
              </w:rPr>
              <w:t xml:space="preserve"> [MPa]</w:t>
            </w:r>
          </w:p>
        </w:tc>
        <w:tc>
          <w:tcPr>
            <w:tcW w:w="946" w:type="dxa"/>
            <w:tcBorders>
              <w:top w:val="single" w:sz="12" w:space="0" w:color="000000"/>
              <w:bottom w:val="single" w:sz="6" w:space="0" w:color="000000"/>
            </w:tcBorders>
          </w:tcPr>
          <w:p w14:paraId="52360E02" w14:textId="04ECC297" w:rsidR="00F111F7" w:rsidRPr="00F111F7" w:rsidRDefault="00F111F7" w:rsidP="008E186F">
            <w:pPr>
              <w:ind w:firstLine="0"/>
              <w:jc w:val="left"/>
              <w:rPr>
                <w:sz w:val="18"/>
                <w:szCs w:val="18"/>
              </w:rPr>
            </w:pPr>
            <w:r w:rsidRPr="00F111F7">
              <w:rPr>
                <w:sz w:val="18"/>
                <w:szCs w:val="18"/>
              </w:rPr>
              <w:t xml:space="preserve">Reduction in area </w:t>
            </w:r>
            <w:r w:rsidR="008E186F" w:rsidRPr="00F111F7">
              <w:rPr>
                <w:sz w:val="18"/>
                <w:szCs w:val="18"/>
              </w:rPr>
              <w:br/>
            </w:r>
            <w:r w:rsidRPr="00F111F7">
              <w:rPr>
                <w:sz w:val="18"/>
                <w:szCs w:val="18"/>
              </w:rPr>
              <w:t>RA [%]</w:t>
            </w:r>
          </w:p>
        </w:tc>
        <w:tc>
          <w:tcPr>
            <w:tcW w:w="1166" w:type="dxa"/>
            <w:tcBorders>
              <w:top w:val="single" w:sz="12" w:space="0" w:color="000000"/>
              <w:bottom w:val="single" w:sz="6" w:space="0" w:color="000000"/>
            </w:tcBorders>
          </w:tcPr>
          <w:p w14:paraId="7EC44122" w14:textId="1B0715C1" w:rsidR="00F111F7" w:rsidRPr="00F111F7" w:rsidRDefault="00F111F7" w:rsidP="00D0685F">
            <w:pPr>
              <w:ind w:firstLine="0"/>
              <w:jc w:val="left"/>
              <w:rPr>
                <w:sz w:val="18"/>
                <w:szCs w:val="18"/>
              </w:rPr>
            </w:pPr>
            <w:r w:rsidRPr="00F111F7">
              <w:rPr>
                <w:sz w:val="18"/>
                <w:szCs w:val="18"/>
              </w:rPr>
              <w:t xml:space="preserve">Impact toughness </w:t>
            </w:r>
            <w:r w:rsidR="008E186F" w:rsidRPr="00F111F7">
              <w:rPr>
                <w:sz w:val="18"/>
                <w:szCs w:val="18"/>
              </w:rPr>
              <w:br/>
            </w:r>
            <w:r w:rsidRPr="00F111F7">
              <w:rPr>
                <w:sz w:val="18"/>
                <w:szCs w:val="18"/>
              </w:rPr>
              <w:t>KCV [J/сm</w:t>
            </w:r>
            <w:r w:rsidRPr="00F111F7">
              <w:rPr>
                <w:sz w:val="18"/>
                <w:szCs w:val="18"/>
                <w:vertAlign w:val="superscript"/>
              </w:rPr>
              <w:t>2</w:t>
            </w:r>
            <w:r w:rsidRPr="00F111F7">
              <w:rPr>
                <w:sz w:val="18"/>
                <w:szCs w:val="18"/>
              </w:rPr>
              <w:t>]</w:t>
            </w:r>
          </w:p>
        </w:tc>
        <w:tc>
          <w:tcPr>
            <w:tcW w:w="1134" w:type="dxa"/>
            <w:tcBorders>
              <w:top w:val="single" w:sz="12" w:space="0" w:color="000000"/>
              <w:bottom w:val="single" w:sz="6" w:space="0" w:color="000000"/>
            </w:tcBorders>
          </w:tcPr>
          <w:p w14:paraId="4A03BBEC" w14:textId="79DA4B27" w:rsidR="00F111F7" w:rsidRPr="00F111F7" w:rsidRDefault="00F111F7" w:rsidP="00D0685F">
            <w:pPr>
              <w:ind w:firstLine="0"/>
              <w:jc w:val="left"/>
              <w:rPr>
                <w:sz w:val="18"/>
                <w:szCs w:val="18"/>
              </w:rPr>
            </w:pPr>
            <w:r w:rsidRPr="00F111F7">
              <w:rPr>
                <w:sz w:val="18"/>
                <w:szCs w:val="18"/>
              </w:rPr>
              <w:t xml:space="preserve">Fracture toughness </w:t>
            </w:r>
            <w:r w:rsidR="008E186F" w:rsidRPr="00F111F7">
              <w:rPr>
                <w:sz w:val="18"/>
                <w:szCs w:val="18"/>
              </w:rPr>
              <w:br/>
            </w:r>
            <w:bookmarkStart w:id="1" w:name="_GoBack"/>
            <w:bookmarkEnd w:id="1"/>
            <w:r w:rsidRPr="00F111F7">
              <w:rPr>
                <w:i/>
                <w:sz w:val="18"/>
                <w:szCs w:val="18"/>
              </w:rPr>
              <w:t>J</w:t>
            </w:r>
            <w:r w:rsidRPr="00F111F7">
              <w:rPr>
                <w:sz w:val="18"/>
                <w:szCs w:val="18"/>
                <w:vertAlign w:val="subscript"/>
              </w:rPr>
              <w:t>0.2</w:t>
            </w:r>
            <w:r w:rsidRPr="00F111F7">
              <w:rPr>
                <w:sz w:val="18"/>
                <w:szCs w:val="18"/>
              </w:rPr>
              <w:t xml:space="preserve"> [N/mm]</w:t>
            </w:r>
          </w:p>
        </w:tc>
      </w:tr>
      <w:tr w:rsidR="00F111F7" w:rsidRPr="009A3755" w14:paraId="02C60F8C" w14:textId="77777777" w:rsidTr="00F111F7">
        <w:trPr>
          <w:trHeight w:val="284"/>
          <w:jc w:val="center"/>
        </w:trPr>
        <w:tc>
          <w:tcPr>
            <w:tcW w:w="1578" w:type="dxa"/>
            <w:vAlign w:val="center"/>
          </w:tcPr>
          <w:p w14:paraId="081B1813" w14:textId="77777777" w:rsidR="00F111F7" w:rsidRPr="00F111F7" w:rsidRDefault="00F111F7" w:rsidP="00F111F7">
            <w:pPr>
              <w:ind w:firstLine="0"/>
              <w:jc w:val="left"/>
              <w:rPr>
                <w:sz w:val="18"/>
                <w:szCs w:val="18"/>
              </w:rPr>
            </w:pPr>
            <w:r w:rsidRPr="00F111F7">
              <w:rPr>
                <w:sz w:val="18"/>
                <w:szCs w:val="18"/>
              </w:rPr>
              <w:t>As-delivered state</w:t>
            </w:r>
          </w:p>
        </w:tc>
        <w:tc>
          <w:tcPr>
            <w:tcW w:w="975" w:type="dxa"/>
          </w:tcPr>
          <w:p w14:paraId="1277589D" w14:textId="77777777" w:rsidR="00F111F7" w:rsidRPr="00F111F7" w:rsidRDefault="00F111F7" w:rsidP="00F111F7">
            <w:pPr>
              <w:rPr>
                <w:sz w:val="18"/>
                <w:szCs w:val="18"/>
              </w:rPr>
            </w:pPr>
            <w:r w:rsidRPr="00F111F7">
              <w:rPr>
                <w:sz w:val="18"/>
                <w:szCs w:val="18"/>
              </w:rPr>
              <w:t>531</w:t>
            </w:r>
          </w:p>
        </w:tc>
        <w:tc>
          <w:tcPr>
            <w:tcW w:w="1027" w:type="dxa"/>
          </w:tcPr>
          <w:p w14:paraId="078F2BFF" w14:textId="77777777" w:rsidR="00F111F7" w:rsidRPr="00F111F7" w:rsidRDefault="00F111F7" w:rsidP="00F111F7">
            <w:pPr>
              <w:rPr>
                <w:sz w:val="18"/>
                <w:szCs w:val="18"/>
              </w:rPr>
            </w:pPr>
            <w:r w:rsidRPr="00F111F7">
              <w:rPr>
                <w:sz w:val="18"/>
                <w:szCs w:val="18"/>
              </w:rPr>
              <w:t>428</w:t>
            </w:r>
          </w:p>
        </w:tc>
        <w:tc>
          <w:tcPr>
            <w:tcW w:w="946" w:type="dxa"/>
          </w:tcPr>
          <w:p w14:paraId="1A978884" w14:textId="77777777" w:rsidR="00F111F7" w:rsidRPr="00DE5F90" w:rsidRDefault="00F111F7" w:rsidP="00F111F7">
            <w:pPr>
              <w:rPr>
                <w:sz w:val="18"/>
                <w:szCs w:val="18"/>
              </w:rPr>
            </w:pPr>
            <w:r w:rsidRPr="00DE5F90">
              <w:rPr>
                <w:sz w:val="18"/>
                <w:szCs w:val="18"/>
              </w:rPr>
              <w:t>71</w:t>
            </w:r>
          </w:p>
        </w:tc>
        <w:tc>
          <w:tcPr>
            <w:tcW w:w="1166" w:type="dxa"/>
          </w:tcPr>
          <w:p w14:paraId="425CF03E" w14:textId="77777777" w:rsidR="00F111F7" w:rsidRPr="00DE5F90" w:rsidRDefault="00F111F7" w:rsidP="00F111F7">
            <w:pPr>
              <w:rPr>
                <w:sz w:val="18"/>
                <w:szCs w:val="18"/>
              </w:rPr>
            </w:pPr>
            <w:r w:rsidRPr="00DE5F90">
              <w:rPr>
                <w:sz w:val="18"/>
                <w:szCs w:val="18"/>
              </w:rPr>
              <w:t>129</w:t>
            </w:r>
          </w:p>
        </w:tc>
        <w:tc>
          <w:tcPr>
            <w:tcW w:w="1134" w:type="dxa"/>
          </w:tcPr>
          <w:p w14:paraId="02794E86" w14:textId="77777777" w:rsidR="00F111F7" w:rsidRPr="00DE5F90" w:rsidRDefault="00F111F7" w:rsidP="00F111F7">
            <w:pPr>
              <w:rPr>
                <w:sz w:val="18"/>
                <w:szCs w:val="18"/>
              </w:rPr>
            </w:pPr>
            <w:r w:rsidRPr="00DE5F90">
              <w:rPr>
                <w:sz w:val="18"/>
                <w:szCs w:val="18"/>
              </w:rPr>
              <w:t>322</w:t>
            </w:r>
          </w:p>
        </w:tc>
      </w:tr>
      <w:tr w:rsidR="00F111F7" w:rsidRPr="009A3755" w14:paraId="24FE63AB" w14:textId="77777777" w:rsidTr="00F111F7">
        <w:trPr>
          <w:trHeight w:val="284"/>
          <w:jc w:val="center"/>
        </w:trPr>
        <w:tc>
          <w:tcPr>
            <w:tcW w:w="1578" w:type="dxa"/>
            <w:vAlign w:val="center"/>
          </w:tcPr>
          <w:p w14:paraId="034F2F6E" w14:textId="77777777" w:rsidR="00F111F7" w:rsidRPr="00F111F7" w:rsidRDefault="00F111F7" w:rsidP="00F111F7">
            <w:pPr>
              <w:ind w:firstLine="0"/>
              <w:jc w:val="left"/>
              <w:rPr>
                <w:sz w:val="18"/>
                <w:szCs w:val="18"/>
              </w:rPr>
            </w:pPr>
            <w:r w:rsidRPr="00F111F7">
              <w:rPr>
                <w:sz w:val="18"/>
                <w:szCs w:val="18"/>
              </w:rPr>
              <w:t>LTT250</w:t>
            </w:r>
          </w:p>
        </w:tc>
        <w:tc>
          <w:tcPr>
            <w:tcW w:w="975" w:type="dxa"/>
          </w:tcPr>
          <w:p w14:paraId="0FDB309A" w14:textId="77777777" w:rsidR="00F111F7" w:rsidRPr="00F111F7" w:rsidRDefault="00F111F7" w:rsidP="00F111F7">
            <w:pPr>
              <w:rPr>
                <w:sz w:val="18"/>
                <w:szCs w:val="18"/>
              </w:rPr>
            </w:pPr>
            <w:r w:rsidRPr="00F111F7">
              <w:rPr>
                <w:sz w:val="18"/>
                <w:szCs w:val="18"/>
              </w:rPr>
              <w:t>535</w:t>
            </w:r>
          </w:p>
        </w:tc>
        <w:tc>
          <w:tcPr>
            <w:tcW w:w="1027" w:type="dxa"/>
          </w:tcPr>
          <w:p w14:paraId="66E44526" w14:textId="77777777" w:rsidR="00F111F7" w:rsidRPr="00F111F7" w:rsidRDefault="00F111F7" w:rsidP="00F111F7">
            <w:pPr>
              <w:rPr>
                <w:sz w:val="18"/>
                <w:szCs w:val="18"/>
              </w:rPr>
            </w:pPr>
            <w:r w:rsidRPr="00F111F7">
              <w:rPr>
                <w:sz w:val="18"/>
                <w:szCs w:val="18"/>
              </w:rPr>
              <w:t>433</w:t>
            </w:r>
          </w:p>
        </w:tc>
        <w:tc>
          <w:tcPr>
            <w:tcW w:w="946" w:type="dxa"/>
          </w:tcPr>
          <w:p w14:paraId="5E3DA534" w14:textId="77777777" w:rsidR="00F111F7" w:rsidRPr="00DE5F90" w:rsidRDefault="00F111F7" w:rsidP="00F111F7">
            <w:pPr>
              <w:rPr>
                <w:sz w:val="18"/>
                <w:szCs w:val="18"/>
              </w:rPr>
            </w:pPr>
            <w:r w:rsidRPr="00DE5F90">
              <w:rPr>
                <w:sz w:val="18"/>
                <w:szCs w:val="18"/>
              </w:rPr>
              <w:t>72</w:t>
            </w:r>
          </w:p>
        </w:tc>
        <w:tc>
          <w:tcPr>
            <w:tcW w:w="1166" w:type="dxa"/>
          </w:tcPr>
          <w:p w14:paraId="7DF7A0D1" w14:textId="77777777" w:rsidR="00F111F7" w:rsidRPr="00DE5F90" w:rsidRDefault="00F111F7" w:rsidP="00F111F7">
            <w:pPr>
              <w:rPr>
                <w:sz w:val="18"/>
                <w:szCs w:val="18"/>
              </w:rPr>
            </w:pPr>
            <w:r w:rsidRPr="00DE5F90">
              <w:rPr>
                <w:sz w:val="18"/>
                <w:szCs w:val="18"/>
              </w:rPr>
              <w:t>125</w:t>
            </w:r>
          </w:p>
        </w:tc>
        <w:tc>
          <w:tcPr>
            <w:tcW w:w="1134" w:type="dxa"/>
          </w:tcPr>
          <w:p w14:paraId="1FE16578" w14:textId="77777777" w:rsidR="00F111F7" w:rsidRPr="00DE5F90" w:rsidRDefault="00F111F7" w:rsidP="00F111F7">
            <w:pPr>
              <w:rPr>
                <w:sz w:val="18"/>
                <w:szCs w:val="18"/>
              </w:rPr>
            </w:pPr>
            <w:r w:rsidRPr="00DE5F90">
              <w:rPr>
                <w:sz w:val="18"/>
                <w:szCs w:val="18"/>
              </w:rPr>
              <w:t>330</w:t>
            </w:r>
          </w:p>
        </w:tc>
      </w:tr>
      <w:tr w:rsidR="00F111F7" w:rsidRPr="009A3755" w14:paraId="4EAA7315" w14:textId="77777777" w:rsidTr="00F111F7">
        <w:trPr>
          <w:trHeight w:val="284"/>
          <w:jc w:val="center"/>
        </w:trPr>
        <w:tc>
          <w:tcPr>
            <w:tcW w:w="1578" w:type="dxa"/>
            <w:tcBorders>
              <w:bottom w:val="single" w:sz="12" w:space="0" w:color="000000"/>
            </w:tcBorders>
            <w:vAlign w:val="center"/>
          </w:tcPr>
          <w:p w14:paraId="4E425E01" w14:textId="77777777" w:rsidR="00F111F7" w:rsidRPr="00F111F7" w:rsidRDefault="00F111F7" w:rsidP="00F111F7">
            <w:pPr>
              <w:ind w:firstLine="0"/>
              <w:jc w:val="left"/>
              <w:rPr>
                <w:sz w:val="18"/>
                <w:szCs w:val="18"/>
              </w:rPr>
            </w:pPr>
            <w:r w:rsidRPr="00F111F7">
              <w:rPr>
                <w:sz w:val="18"/>
                <w:szCs w:val="18"/>
              </w:rPr>
              <w:t>PEH + LTT250</w:t>
            </w:r>
          </w:p>
        </w:tc>
        <w:tc>
          <w:tcPr>
            <w:tcW w:w="975" w:type="dxa"/>
            <w:tcBorders>
              <w:bottom w:val="single" w:sz="12" w:space="0" w:color="000000"/>
            </w:tcBorders>
          </w:tcPr>
          <w:p w14:paraId="631D1FC2" w14:textId="77777777" w:rsidR="00F111F7" w:rsidRPr="00F111F7" w:rsidRDefault="00F111F7" w:rsidP="00F111F7">
            <w:pPr>
              <w:rPr>
                <w:sz w:val="18"/>
                <w:szCs w:val="18"/>
              </w:rPr>
            </w:pPr>
            <w:r w:rsidRPr="00F111F7">
              <w:rPr>
                <w:sz w:val="18"/>
                <w:szCs w:val="18"/>
              </w:rPr>
              <w:t>533</w:t>
            </w:r>
          </w:p>
        </w:tc>
        <w:tc>
          <w:tcPr>
            <w:tcW w:w="1027" w:type="dxa"/>
            <w:tcBorders>
              <w:bottom w:val="single" w:sz="12" w:space="0" w:color="000000"/>
            </w:tcBorders>
          </w:tcPr>
          <w:p w14:paraId="6F5835AF" w14:textId="77777777" w:rsidR="00F111F7" w:rsidRPr="00F111F7" w:rsidRDefault="00F111F7" w:rsidP="00F111F7">
            <w:pPr>
              <w:rPr>
                <w:sz w:val="18"/>
                <w:szCs w:val="18"/>
              </w:rPr>
            </w:pPr>
            <w:r w:rsidRPr="00F111F7">
              <w:rPr>
                <w:sz w:val="18"/>
                <w:szCs w:val="18"/>
              </w:rPr>
              <w:t>435</w:t>
            </w:r>
          </w:p>
        </w:tc>
        <w:tc>
          <w:tcPr>
            <w:tcW w:w="946" w:type="dxa"/>
            <w:tcBorders>
              <w:bottom w:val="single" w:sz="12" w:space="0" w:color="000000"/>
            </w:tcBorders>
          </w:tcPr>
          <w:p w14:paraId="26105D1B" w14:textId="77777777" w:rsidR="00F111F7" w:rsidRPr="00DE5F90" w:rsidRDefault="00F111F7" w:rsidP="00F111F7">
            <w:pPr>
              <w:rPr>
                <w:sz w:val="18"/>
                <w:szCs w:val="18"/>
              </w:rPr>
            </w:pPr>
            <w:r w:rsidRPr="00DE5F90">
              <w:rPr>
                <w:sz w:val="18"/>
                <w:szCs w:val="18"/>
              </w:rPr>
              <w:t>74</w:t>
            </w:r>
          </w:p>
        </w:tc>
        <w:tc>
          <w:tcPr>
            <w:tcW w:w="1166" w:type="dxa"/>
            <w:tcBorders>
              <w:bottom w:val="single" w:sz="12" w:space="0" w:color="000000"/>
            </w:tcBorders>
          </w:tcPr>
          <w:p w14:paraId="5CD0A940" w14:textId="77777777" w:rsidR="00F111F7" w:rsidRPr="00DE5F90" w:rsidRDefault="00F111F7" w:rsidP="00F111F7">
            <w:pPr>
              <w:rPr>
                <w:sz w:val="18"/>
                <w:szCs w:val="18"/>
              </w:rPr>
            </w:pPr>
            <w:r w:rsidRPr="00DE5F90">
              <w:rPr>
                <w:sz w:val="18"/>
                <w:szCs w:val="18"/>
              </w:rPr>
              <w:t>131</w:t>
            </w:r>
          </w:p>
        </w:tc>
        <w:tc>
          <w:tcPr>
            <w:tcW w:w="1134" w:type="dxa"/>
            <w:tcBorders>
              <w:bottom w:val="single" w:sz="12" w:space="0" w:color="000000"/>
            </w:tcBorders>
          </w:tcPr>
          <w:p w14:paraId="4BF9F14A" w14:textId="77777777" w:rsidR="00F111F7" w:rsidRPr="00DE5F90" w:rsidRDefault="00F111F7" w:rsidP="00F111F7">
            <w:pPr>
              <w:rPr>
                <w:sz w:val="18"/>
                <w:szCs w:val="18"/>
              </w:rPr>
            </w:pPr>
            <w:r w:rsidRPr="00DE5F90">
              <w:rPr>
                <w:sz w:val="18"/>
                <w:szCs w:val="18"/>
              </w:rPr>
              <w:t>286</w:t>
            </w:r>
          </w:p>
        </w:tc>
      </w:tr>
    </w:tbl>
    <w:p w14:paraId="7C0DC63D" w14:textId="77777777" w:rsidR="0065302A" w:rsidRDefault="0065302A" w:rsidP="00F3744A">
      <w:pPr>
        <w:pStyle w:val="Els-body-text"/>
        <w:ind w:right="-28"/>
        <w:rPr>
          <w:lang w:val="en-GB"/>
        </w:rPr>
      </w:pPr>
    </w:p>
    <w:p w14:paraId="377B1BA8" w14:textId="77777777" w:rsidR="001D4378" w:rsidRPr="000E4416" w:rsidRDefault="001D7B05" w:rsidP="001D4378">
      <w:pPr>
        <w:pStyle w:val="Els-body-text"/>
        <w:ind w:right="-28"/>
        <w:rPr>
          <w:lang w:val="en-GB"/>
        </w:rPr>
      </w:pPr>
      <w:r>
        <w:rPr>
          <w:lang w:val="en-GB"/>
        </w:rPr>
        <w:t>I</w:t>
      </w:r>
      <w:r w:rsidR="001D4378" w:rsidRPr="000E4416">
        <w:rPr>
          <w:lang w:val="en-GB"/>
        </w:rPr>
        <w:t xml:space="preserve">t was revealed that the mechanical characteristics at a macro-scale, such as plasticity and impact toughness, are not sensitive to hydrogen-induced strain aging. Furthermore, fracture toughness, which is characteristic of a meso-scale, determined by J-integral method, is more sensitive to hydrogen. However, the most efficient method among all the methods used was resistance to SCC, which is considered a micro-scale characteristic. The microfractographic analysis revealed </w:t>
      </w:r>
      <w:r w:rsidR="00F87370" w:rsidRPr="000E4416">
        <w:rPr>
          <w:lang w:val="en-GB"/>
        </w:rPr>
        <w:t xml:space="preserve">the signs of embrittlement </w:t>
      </w:r>
      <w:r w:rsidR="00F87370">
        <w:rPr>
          <w:lang w:val="en-GB"/>
        </w:rPr>
        <w:t>f</w:t>
      </w:r>
      <w:r w:rsidR="001D4378" w:rsidRPr="000E4416">
        <w:rPr>
          <w:lang w:val="en-GB"/>
        </w:rPr>
        <w:t>or SCC testing. The</w:t>
      </w:r>
      <w:r w:rsidR="00F87370">
        <w:rPr>
          <w:lang w:val="en-GB"/>
        </w:rPr>
        <w:t xml:space="preserve"> embrittlement </w:t>
      </w:r>
      <w:r w:rsidR="001D4378" w:rsidRPr="000E4416">
        <w:rPr>
          <w:lang w:val="en-GB"/>
        </w:rPr>
        <w:t>features correspond to the well-known regularity of the dominance of the intergranular pathways for hydrogen</w:t>
      </w:r>
      <w:r w:rsidR="00F87370">
        <w:rPr>
          <w:lang w:val="en-GB"/>
        </w:rPr>
        <w:t xml:space="preserve"> diffusion </w:t>
      </w:r>
      <w:r w:rsidR="001D4378" w:rsidRPr="000E4416">
        <w:rPr>
          <w:lang w:val="en-GB"/>
        </w:rPr>
        <w:t xml:space="preserve">in low-alloy steels. </w:t>
      </w:r>
    </w:p>
    <w:p w14:paraId="08E0BB80" w14:textId="77777777" w:rsidR="00606587" w:rsidRDefault="009B2539" w:rsidP="00606587">
      <w:pPr>
        <w:pStyle w:val="heading1"/>
        <w:numPr>
          <w:ilvl w:val="0"/>
          <w:numId w:val="0"/>
        </w:numPr>
        <w:ind w:left="567" w:hanging="567"/>
      </w:pPr>
      <w:r>
        <w:t>References</w:t>
      </w:r>
    </w:p>
    <w:p w14:paraId="3085CB35" w14:textId="77777777" w:rsidR="001D4378" w:rsidRPr="000E4416" w:rsidRDefault="001D4378" w:rsidP="001D4378">
      <w:pPr>
        <w:pStyle w:val="referenceitem"/>
        <w:rPr>
          <w:lang w:val="en-GB"/>
        </w:rPr>
      </w:pPr>
      <w:proofErr w:type="spellStart"/>
      <w:r w:rsidRPr="000E4416">
        <w:rPr>
          <w:lang w:val="en-GB"/>
        </w:rPr>
        <w:t>Vodopivec</w:t>
      </w:r>
      <w:proofErr w:type="spellEnd"/>
      <w:r w:rsidRPr="000E4416">
        <w:rPr>
          <w:lang w:val="en-GB"/>
        </w:rPr>
        <w:t>, F.</w:t>
      </w:r>
      <w:r w:rsidR="009E5D06">
        <w:rPr>
          <w:lang w:val="en-GB"/>
        </w:rPr>
        <w:t xml:space="preserve">: </w:t>
      </w:r>
      <w:r w:rsidRPr="000E4416">
        <w:rPr>
          <w:lang w:val="en-GB"/>
        </w:rPr>
        <w:t xml:space="preserve">Strain ageing of structural steels. </w:t>
      </w:r>
      <w:proofErr w:type="spellStart"/>
      <w:r w:rsidRPr="000E4416">
        <w:rPr>
          <w:lang w:val="en-GB"/>
        </w:rPr>
        <w:t>Metalurgija</w:t>
      </w:r>
      <w:proofErr w:type="spellEnd"/>
      <w:r w:rsidRPr="000E4416">
        <w:rPr>
          <w:lang w:val="en-GB"/>
        </w:rPr>
        <w:t xml:space="preserve"> 43(3), 143</w:t>
      </w:r>
      <w:r w:rsidR="009E5D06">
        <w:t>–</w:t>
      </w:r>
      <w:r w:rsidRPr="000E4416">
        <w:rPr>
          <w:lang w:val="en-GB"/>
        </w:rPr>
        <w:t>148</w:t>
      </w:r>
      <w:r w:rsidR="009E5D06">
        <w:rPr>
          <w:lang w:val="en-GB"/>
        </w:rPr>
        <w:t xml:space="preserve"> (2004)</w:t>
      </w:r>
      <w:r w:rsidRPr="000E4416">
        <w:rPr>
          <w:lang w:val="en-GB"/>
        </w:rPr>
        <w:t>.</w:t>
      </w:r>
    </w:p>
    <w:p w14:paraId="17D18274" w14:textId="77777777" w:rsidR="001D4378" w:rsidRPr="000E4416" w:rsidRDefault="001D4378" w:rsidP="001D4378">
      <w:pPr>
        <w:pStyle w:val="referenceitem"/>
        <w:rPr>
          <w:lang w:val="en-GB"/>
        </w:rPr>
      </w:pPr>
      <w:proofErr w:type="spellStart"/>
      <w:r w:rsidRPr="000E4416">
        <w:rPr>
          <w:lang w:val="en-GB"/>
        </w:rPr>
        <w:t>Tsyrul’nyk</w:t>
      </w:r>
      <w:proofErr w:type="spellEnd"/>
      <w:r w:rsidRPr="000E4416">
        <w:rPr>
          <w:lang w:val="en-GB"/>
        </w:rPr>
        <w:t>, О.Т., Kret, N.V., Voloshyn, V.A., Zvirko, O.I.</w:t>
      </w:r>
      <w:r w:rsidR="009E5D06">
        <w:rPr>
          <w:lang w:val="en-GB"/>
        </w:rPr>
        <w:t>:</w:t>
      </w:r>
      <w:r w:rsidRPr="000E4416">
        <w:rPr>
          <w:lang w:val="en-GB"/>
        </w:rPr>
        <w:t xml:space="preserve"> A procedure of laboratory degradation of structural steels. Materials Science 53 (5), 674–683</w:t>
      </w:r>
      <w:r w:rsidR="009E5D06">
        <w:rPr>
          <w:lang w:val="en-GB"/>
        </w:rPr>
        <w:t xml:space="preserve"> (2018)</w:t>
      </w:r>
      <w:r w:rsidRPr="000E4416">
        <w:rPr>
          <w:lang w:val="en-GB"/>
        </w:rPr>
        <w:t>.</w:t>
      </w:r>
    </w:p>
    <w:p w14:paraId="5B865995" w14:textId="77777777" w:rsidR="001D4378" w:rsidRPr="000E4416" w:rsidRDefault="001D4378" w:rsidP="001D4378">
      <w:pPr>
        <w:pStyle w:val="referenceitem"/>
        <w:rPr>
          <w:lang w:val="en-GB"/>
        </w:rPr>
      </w:pPr>
      <w:r w:rsidRPr="000E4416">
        <w:rPr>
          <w:lang w:val="en-GB"/>
        </w:rPr>
        <w:t>Yang, Y., Zhang, B., Wang, Y., Jiang, Z., Li, K.</w:t>
      </w:r>
      <w:r w:rsidR="009E5D06">
        <w:rPr>
          <w:lang w:val="en-GB"/>
        </w:rPr>
        <w:t>:</w:t>
      </w:r>
      <w:r w:rsidRPr="000E4416">
        <w:rPr>
          <w:lang w:val="en-GB"/>
        </w:rPr>
        <w:t xml:space="preserve"> Mechanical </w:t>
      </w:r>
      <w:proofErr w:type="spellStart"/>
      <w:r w:rsidRPr="000E4416">
        <w:rPr>
          <w:lang w:val="en-GB"/>
        </w:rPr>
        <w:t>behaviors</w:t>
      </w:r>
      <w:proofErr w:type="spellEnd"/>
      <w:r w:rsidRPr="000E4416">
        <w:rPr>
          <w:lang w:val="en-GB"/>
        </w:rPr>
        <w:t xml:space="preserve"> and constitutive model of structural steel influenced by strain aging. Journal of Constructional Steel Research 192, 107211</w:t>
      </w:r>
      <w:r w:rsidR="009E5D06">
        <w:rPr>
          <w:lang w:val="en-GB"/>
        </w:rPr>
        <w:t xml:space="preserve"> (</w:t>
      </w:r>
      <w:r w:rsidR="009E5D06" w:rsidRPr="000E4416">
        <w:rPr>
          <w:lang w:val="en-GB"/>
        </w:rPr>
        <w:t>2022</w:t>
      </w:r>
      <w:r w:rsidR="009E5D06">
        <w:rPr>
          <w:lang w:val="en-GB"/>
        </w:rPr>
        <w:t>).</w:t>
      </w:r>
    </w:p>
    <w:p w14:paraId="4C2780DF" w14:textId="77777777" w:rsidR="00B0214F" w:rsidRPr="000E4416" w:rsidRDefault="00B0214F" w:rsidP="00B0214F">
      <w:pPr>
        <w:pStyle w:val="referenceitem"/>
        <w:rPr>
          <w:lang w:val="en-GB"/>
        </w:rPr>
      </w:pPr>
      <w:proofErr w:type="spellStart"/>
      <w:r w:rsidRPr="000E4416">
        <w:rPr>
          <w:lang w:val="en-GB"/>
        </w:rPr>
        <w:t>Tiegel</w:t>
      </w:r>
      <w:proofErr w:type="spellEnd"/>
      <w:r w:rsidRPr="000E4416">
        <w:rPr>
          <w:lang w:val="en-GB"/>
        </w:rPr>
        <w:t xml:space="preserve">, M. C., Martin, M. L., Lehmberg, A. K., </w:t>
      </w:r>
      <w:proofErr w:type="spellStart"/>
      <w:r w:rsidRPr="000E4416">
        <w:rPr>
          <w:lang w:val="en-GB"/>
        </w:rPr>
        <w:t>Deutges</w:t>
      </w:r>
      <w:proofErr w:type="spellEnd"/>
      <w:r w:rsidRPr="000E4416">
        <w:rPr>
          <w:lang w:val="en-GB"/>
        </w:rPr>
        <w:t xml:space="preserve">, M., Borchers, C., </w:t>
      </w:r>
      <w:proofErr w:type="spellStart"/>
      <w:r w:rsidRPr="000E4416">
        <w:rPr>
          <w:lang w:val="en-GB"/>
        </w:rPr>
        <w:t>Kirchheim</w:t>
      </w:r>
      <w:proofErr w:type="spellEnd"/>
      <w:r w:rsidRPr="000E4416">
        <w:rPr>
          <w:lang w:val="en-GB"/>
        </w:rPr>
        <w:t>,</w:t>
      </w:r>
      <w:r w:rsidR="009E5D06">
        <w:rPr>
          <w:lang w:val="en-GB"/>
        </w:rPr>
        <w:t> </w:t>
      </w:r>
      <w:r w:rsidRPr="000E4416">
        <w:rPr>
          <w:lang w:val="en-GB"/>
        </w:rPr>
        <w:t>R.</w:t>
      </w:r>
      <w:r w:rsidR="009E5D06">
        <w:rPr>
          <w:lang w:val="en-GB"/>
        </w:rPr>
        <w:t xml:space="preserve">: </w:t>
      </w:r>
      <w:r w:rsidRPr="000E4416">
        <w:rPr>
          <w:lang w:val="en-GB"/>
        </w:rPr>
        <w:t xml:space="preserve">Crack and blister initiation and growth in purified iron due to hydrogen loading. Acta </w:t>
      </w:r>
      <w:proofErr w:type="spellStart"/>
      <w:r w:rsidRPr="000E4416">
        <w:rPr>
          <w:lang w:val="en-GB"/>
        </w:rPr>
        <w:t>Materialia</w:t>
      </w:r>
      <w:proofErr w:type="spellEnd"/>
      <w:r w:rsidRPr="000E4416">
        <w:rPr>
          <w:lang w:val="en-GB"/>
        </w:rPr>
        <w:t xml:space="preserve"> 115, 24</w:t>
      </w:r>
      <w:r w:rsidR="009E5D06">
        <w:t>–</w:t>
      </w:r>
      <w:r w:rsidRPr="000E4416">
        <w:rPr>
          <w:lang w:val="en-GB"/>
        </w:rPr>
        <w:t>34</w:t>
      </w:r>
      <w:r w:rsidR="009E5D06">
        <w:rPr>
          <w:lang w:val="en-GB"/>
        </w:rPr>
        <w:t xml:space="preserve"> (2016)</w:t>
      </w:r>
      <w:r w:rsidRPr="000E4416">
        <w:rPr>
          <w:lang w:val="en-GB"/>
        </w:rPr>
        <w:t>.</w:t>
      </w:r>
    </w:p>
    <w:p w14:paraId="2287B964" w14:textId="77777777" w:rsidR="00F5783C" w:rsidRPr="00606587" w:rsidRDefault="00B0214F" w:rsidP="00606587">
      <w:pPr>
        <w:pStyle w:val="referenceitem"/>
      </w:pPr>
      <w:proofErr w:type="spellStart"/>
      <w:r w:rsidRPr="009E5D06">
        <w:rPr>
          <w:lang w:val="en-GB"/>
        </w:rPr>
        <w:t>Mogilny</w:t>
      </w:r>
      <w:proofErr w:type="spellEnd"/>
      <w:r w:rsidRPr="009E5D06">
        <w:rPr>
          <w:lang w:val="en-GB"/>
        </w:rPr>
        <w:t xml:space="preserve">, G. S., </w:t>
      </w:r>
      <w:proofErr w:type="spellStart"/>
      <w:r w:rsidRPr="009E5D06">
        <w:rPr>
          <w:lang w:val="en-GB"/>
        </w:rPr>
        <w:t>Shyvaniuk</w:t>
      </w:r>
      <w:proofErr w:type="spellEnd"/>
      <w:r w:rsidRPr="009E5D06">
        <w:rPr>
          <w:lang w:val="en-GB"/>
        </w:rPr>
        <w:t xml:space="preserve">, V. N., </w:t>
      </w:r>
      <w:proofErr w:type="spellStart"/>
      <w:r w:rsidRPr="009E5D06">
        <w:rPr>
          <w:lang w:val="en-GB"/>
        </w:rPr>
        <w:t>Teus</w:t>
      </w:r>
      <w:proofErr w:type="spellEnd"/>
      <w:r w:rsidRPr="009E5D06">
        <w:rPr>
          <w:lang w:val="en-GB"/>
        </w:rPr>
        <w:t xml:space="preserve">, S. M., </w:t>
      </w:r>
      <w:proofErr w:type="spellStart"/>
      <w:r w:rsidRPr="009E5D06">
        <w:rPr>
          <w:lang w:val="en-GB"/>
        </w:rPr>
        <w:t>Ivaskevich</w:t>
      </w:r>
      <w:proofErr w:type="spellEnd"/>
      <w:r w:rsidRPr="009E5D06">
        <w:rPr>
          <w:lang w:val="en-GB"/>
        </w:rPr>
        <w:t xml:space="preserve">, L. M., </w:t>
      </w:r>
      <w:proofErr w:type="spellStart"/>
      <w:r w:rsidRPr="009E5D06">
        <w:rPr>
          <w:lang w:val="en-GB"/>
        </w:rPr>
        <w:t>Gavriljuk</w:t>
      </w:r>
      <w:proofErr w:type="spellEnd"/>
      <w:r w:rsidRPr="009E5D06">
        <w:rPr>
          <w:lang w:val="en-GB"/>
        </w:rPr>
        <w:t>, V. G.</w:t>
      </w:r>
      <w:r w:rsidR="00441329" w:rsidRPr="009E5D06">
        <w:rPr>
          <w:lang w:val="en-GB"/>
        </w:rPr>
        <w:t xml:space="preserve">: </w:t>
      </w:r>
      <w:r w:rsidR="009E5D06" w:rsidRPr="009E5D06">
        <w:rPr>
          <w:lang w:val="en-GB"/>
        </w:rPr>
        <w:t>On a mechanism for enhanced hydrogen flux along grain boundaries in metals.</w:t>
      </w:r>
      <w:r w:rsidRPr="009E5D06">
        <w:rPr>
          <w:lang w:val="en-GB"/>
        </w:rPr>
        <w:t xml:space="preserve"> Acta </w:t>
      </w:r>
      <w:proofErr w:type="spellStart"/>
      <w:r w:rsidRPr="009E5D06">
        <w:rPr>
          <w:lang w:val="en-GB"/>
        </w:rPr>
        <w:t>Materialia</w:t>
      </w:r>
      <w:proofErr w:type="spellEnd"/>
      <w:r w:rsidR="009E5D06" w:rsidRPr="009E5D06">
        <w:rPr>
          <w:lang w:val="en-GB"/>
        </w:rPr>
        <w:t xml:space="preserve"> </w:t>
      </w:r>
      <w:r w:rsidRPr="009E5D06">
        <w:rPr>
          <w:lang w:val="en-GB"/>
        </w:rPr>
        <w:t>194, 516</w:t>
      </w:r>
      <w:r w:rsidR="009E5D06">
        <w:t>–</w:t>
      </w:r>
      <w:r w:rsidRPr="009E5D06">
        <w:rPr>
          <w:lang w:val="en-GB"/>
        </w:rPr>
        <w:t>521</w:t>
      </w:r>
      <w:r w:rsidR="009E5D06" w:rsidRPr="009E5D06">
        <w:rPr>
          <w:lang w:val="en-GB"/>
        </w:rPr>
        <w:t xml:space="preserve"> (2020).</w:t>
      </w:r>
    </w:p>
    <w:sectPr w:rsidR="00F5783C" w:rsidRPr="00606587" w:rsidSect="000D3B20">
      <w:headerReference w:type="even" r:id="rId7"/>
      <w:headerReference w:type="default" r:id="rId8"/>
      <w:pgSz w:w="8392" w:h="11907" w:code="11"/>
      <w:pgMar w:top="851" w:right="851" w:bottom="851" w:left="851" w:header="2381" w:footer="2325"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96C08" w14:textId="77777777" w:rsidR="008B22ED" w:rsidRDefault="008B22ED">
      <w:r>
        <w:separator/>
      </w:r>
    </w:p>
  </w:endnote>
  <w:endnote w:type="continuationSeparator" w:id="0">
    <w:p w14:paraId="1395F235" w14:textId="77777777" w:rsidR="008B22ED" w:rsidRDefault="008B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dvGulliv-R">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0D03" w14:textId="77777777" w:rsidR="008B22ED" w:rsidRDefault="008B22ED" w:rsidP="009F7FCE">
      <w:pPr>
        <w:ind w:firstLine="0"/>
      </w:pPr>
      <w:r>
        <w:separator/>
      </w:r>
    </w:p>
  </w:footnote>
  <w:footnote w:type="continuationSeparator" w:id="0">
    <w:p w14:paraId="287949F9" w14:textId="77777777" w:rsidR="008B22ED" w:rsidRDefault="008B22ED"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9BAE" w14:textId="77777777" w:rsidR="009B2539" w:rsidRDefault="009B2539" w:rsidP="00F321B4">
    <w:pPr>
      <w:pStyle w:val="a6"/>
    </w:pPr>
    <w:r>
      <w:fldChar w:fldCharType="begin"/>
    </w:r>
    <w:r>
      <w:instrText>PAGE   \* MERGEFORMAT</w:instrText>
    </w:r>
    <w:r>
      <w:fldChar w:fldCharType="separate"/>
    </w:r>
    <w:r w:rsidR="000D3B20">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AECA6" w14:textId="77777777" w:rsidR="002D48C5" w:rsidRDefault="002D48C5" w:rsidP="002D48C5">
    <w:pPr>
      <w:pStyle w:val="a6"/>
      <w:jc w:val="right"/>
    </w:pPr>
    <w:r>
      <w:fldChar w:fldCharType="begin"/>
    </w:r>
    <w:r>
      <w:instrText>PAGE   \* MERGEFORMAT</w:instrText>
    </w:r>
    <w:r>
      <w:fldChar w:fldCharType="separate"/>
    </w:r>
    <w:r w:rsidR="000D3B2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52C10EEF"/>
    <w:multiLevelType w:val="hybridMultilevel"/>
    <w:tmpl w:val="555C418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2"/>
  </w:num>
  <w:num w:numId="11">
    <w:abstractNumId w:val="5"/>
  </w:num>
  <w:num w:numId="12">
    <w:abstractNumId w:val="1"/>
  </w:num>
  <w:num w:numId="13">
    <w:abstractNumId w:val="5"/>
  </w:num>
  <w:num w:numId="1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FCE"/>
    <w:rsid w:val="0006092F"/>
    <w:rsid w:val="000D3B20"/>
    <w:rsid w:val="001A02F0"/>
    <w:rsid w:val="001D4378"/>
    <w:rsid w:val="001D7B05"/>
    <w:rsid w:val="00281F92"/>
    <w:rsid w:val="002B3A80"/>
    <w:rsid w:val="002D48C5"/>
    <w:rsid w:val="00360B42"/>
    <w:rsid w:val="00441329"/>
    <w:rsid w:val="0046388C"/>
    <w:rsid w:val="00501BD1"/>
    <w:rsid w:val="00551C72"/>
    <w:rsid w:val="0065302A"/>
    <w:rsid w:val="0067644F"/>
    <w:rsid w:val="00746864"/>
    <w:rsid w:val="008B22ED"/>
    <w:rsid w:val="008E186F"/>
    <w:rsid w:val="008F2D4C"/>
    <w:rsid w:val="009930E4"/>
    <w:rsid w:val="009B2539"/>
    <w:rsid w:val="009E5D06"/>
    <w:rsid w:val="009F7FCE"/>
    <w:rsid w:val="00A44DBB"/>
    <w:rsid w:val="00AE4A13"/>
    <w:rsid w:val="00B0214F"/>
    <w:rsid w:val="00B23481"/>
    <w:rsid w:val="00B52196"/>
    <w:rsid w:val="00BA764E"/>
    <w:rsid w:val="00C765E7"/>
    <w:rsid w:val="00DC2CA9"/>
    <w:rsid w:val="00DE5F90"/>
    <w:rsid w:val="00E26451"/>
    <w:rsid w:val="00E603C7"/>
    <w:rsid w:val="00F111F7"/>
    <w:rsid w:val="00F321B4"/>
    <w:rsid w:val="00F3744A"/>
    <w:rsid w:val="00F8737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3625B2"/>
  <w15:docId w15:val="{1CF03C60-31FB-44E3-ADC3-12526A918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5">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7667"/>
    <w:pPr>
      <w:overflowPunct w:val="0"/>
      <w:autoSpaceDE w:val="0"/>
      <w:autoSpaceDN w:val="0"/>
      <w:adjustRightInd w:val="0"/>
      <w:ind w:firstLine="227"/>
      <w:jc w:val="both"/>
      <w:textAlignment w:val="baseline"/>
    </w:pPr>
  </w:style>
  <w:style w:type="paragraph" w:styleId="1">
    <w:name w:val="heading 1"/>
    <w:basedOn w:val="a"/>
    <w:next w:val="p1a"/>
    <w:semiHidden/>
    <w:unhideWhenUsed/>
    <w:qFormat/>
    <w:pPr>
      <w:keepNext/>
      <w:keepLines/>
      <w:suppressAutoHyphens/>
      <w:spacing w:before="360" w:after="240" w:line="300" w:lineRule="atLeast"/>
      <w:ind w:left="567" w:hanging="567"/>
      <w:jc w:val="left"/>
      <w:outlineLvl w:val="0"/>
    </w:pPr>
    <w:rPr>
      <w:b/>
      <w:sz w:val="24"/>
    </w:rPr>
  </w:style>
  <w:style w:type="paragraph" w:styleId="2">
    <w:name w:val="heading 2"/>
    <w:basedOn w:val="a"/>
    <w:next w:val="p1a"/>
    <w:semiHidden/>
    <w:unhideWhenUsed/>
    <w:qFormat/>
    <w:pPr>
      <w:keepNext/>
      <w:keepLines/>
      <w:suppressAutoHyphens/>
      <w:spacing w:before="360" w:after="160"/>
      <w:ind w:left="567" w:hanging="567"/>
      <w:jc w:val="left"/>
      <w:outlineLvl w:val="1"/>
    </w:pPr>
    <w:rPr>
      <w:b/>
    </w:rPr>
  </w:style>
  <w:style w:type="paragraph" w:styleId="3">
    <w:name w:val="heading 3"/>
    <w:basedOn w:val="a"/>
    <w:next w:val="a"/>
    <w:qFormat/>
    <w:pPr>
      <w:spacing w:before="360"/>
      <w:ind w:firstLine="0"/>
      <w:outlineLvl w:val="2"/>
    </w:pPr>
  </w:style>
  <w:style w:type="paragraph" w:styleId="4">
    <w:name w:val="heading 4"/>
    <w:basedOn w:val="a"/>
    <w:next w:val="a"/>
    <w:qFormat/>
    <w:pPr>
      <w:spacing w:before="240"/>
      <w:ind w:firstLine="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pPr>
      <w:spacing w:before="600" w:after="360" w:line="220" w:lineRule="atLeast"/>
      <w:ind w:left="567" w:right="567"/>
      <w:contextualSpacing/>
    </w:pPr>
    <w:rPr>
      <w:sz w:val="18"/>
    </w:rPr>
  </w:style>
  <w:style w:type="paragraph" w:customStyle="1" w:styleId="address">
    <w:name w:val="address"/>
    <w:basedOn w:val="a"/>
    <w:pPr>
      <w:spacing w:after="200" w:line="220" w:lineRule="atLeast"/>
      <w:ind w:firstLine="0"/>
      <w:contextualSpacing/>
      <w:jc w:val="center"/>
    </w:pPr>
    <w:rPr>
      <w:sz w:val="18"/>
    </w:rPr>
  </w:style>
  <w:style w:type="numbering" w:customStyle="1" w:styleId="arabnumitem">
    <w:name w:val="arabnumitem"/>
    <w:basedOn w:val="a2"/>
    <w:pPr>
      <w:numPr>
        <w:numId w:val="5"/>
      </w:numPr>
    </w:pPr>
  </w:style>
  <w:style w:type="paragraph" w:customStyle="1" w:styleId="author">
    <w:name w:val="author"/>
    <w:basedOn w:val="a"/>
    <w:next w:val="address"/>
    <w:pPr>
      <w:spacing w:after="200" w:line="220" w:lineRule="atLeast"/>
      <w:ind w:firstLine="0"/>
      <w:jc w:val="center"/>
    </w:pPr>
  </w:style>
  <w:style w:type="paragraph" w:customStyle="1" w:styleId="bulletitem">
    <w:name w:val="bulletitem"/>
    <w:basedOn w:val="a"/>
    <w:pPr>
      <w:numPr>
        <w:numId w:val="2"/>
      </w:numPr>
      <w:spacing w:before="160" w:after="160"/>
      <w:contextualSpacing/>
    </w:pPr>
  </w:style>
  <w:style w:type="paragraph" w:customStyle="1" w:styleId="dashitem">
    <w:name w:val="dashitem"/>
    <w:basedOn w:val="a"/>
    <w:pPr>
      <w:numPr>
        <w:numId w:val="4"/>
      </w:numPr>
      <w:spacing w:before="160" w:after="160"/>
      <w:contextualSpacing/>
    </w:pPr>
  </w:style>
  <w:style w:type="character" w:customStyle="1" w:styleId="e-mail">
    <w:name w:val="e-mail"/>
    <w:basedOn w:val="a0"/>
    <w:rPr>
      <w:rFonts w:ascii="Courier" w:hAnsi="Courier"/>
      <w:noProof/>
    </w:rPr>
  </w:style>
  <w:style w:type="paragraph" w:customStyle="1" w:styleId="equation">
    <w:name w:val="equation"/>
    <w:basedOn w:val="a"/>
    <w:next w:val="a"/>
    <w:pPr>
      <w:tabs>
        <w:tab w:val="center" w:pos="3289"/>
        <w:tab w:val="right" w:pos="6917"/>
      </w:tabs>
      <w:spacing w:before="160" w:after="160"/>
      <w:ind w:firstLine="0"/>
    </w:pPr>
  </w:style>
  <w:style w:type="paragraph" w:customStyle="1" w:styleId="figurecaption">
    <w:name w:val="figurecaption"/>
    <w:basedOn w:val="a"/>
    <w:next w:val="a"/>
    <w:pPr>
      <w:keepLines/>
      <w:spacing w:before="120" w:after="240" w:line="220" w:lineRule="atLeast"/>
      <w:ind w:firstLine="0"/>
      <w:jc w:val="center"/>
    </w:pPr>
    <w:rPr>
      <w:sz w:val="18"/>
    </w:rPr>
  </w:style>
  <w:style w:type="character" w:styleId="a3">
    <w:name w:val="footnote reference"/>
    <w:basedOn w:val="a0"/>
    <w:semiHidden/>
    <w:unhideWhenUsed/>
    <w:rPr>
      <w:position w:val="0"/>
      <w:vertAlign w:val="superscript"/>
    </w:rPr>
  </w:style>
  <w:style w:type="paragraph" w:styleId="a4">
    <w:name w:val="footer"/>
    <w:basedOn w:val="a"/>
    <w:semiHidden/>
    <w:unhideWhenUsed/>
  </w:style>
  <w:style w:type="paragraph" w:customStyle="1" w:styleId="heading1">
    <w:name w:val="heading1"/>
    <w:basedOn w:val="a"/>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a"/>
    <w:next w:val="p1a"/>
    <w:qFormat/>
    <w:pPr>
      <w:keepNext/>
      <w:keepLines/>
      <w:numPr>
        <w:ilvl w:val="1"/>
        <w:numId w:val="7"/>
      </w:numPr>
      <w:suppressAutoHyphens/>
      <w:spacing w:before="360" w:after="160"/>
      <w:jc w:val="left"/>
      <w:outlineLvl w:val="1"/>
    </w:pPr>
    <w:rPr>
      <w:b/>
    </w:rPr>
  </w:style>
  <w:style w:type="character" w:customStyle="1" w:styleId="heading3">
    <w:name w:val="heading3"/>
    <w:basedOn w:val="a0"/>
    <w:rPr>
      <w:b/>
    </w:rPr>
  </w:style>
  <w:style w:type="character" w:customStyle="1" w:styleId="heading4">
    <w:name w:val="heading4"/>
    <w:basedOn w:val="a0"/>
    <w:rPr>
      <w:i/>
    </w:rPr>
  </w:style>
  <w:style w:type="numbering" w:customStyle="1" w:styleId="headings">
    <w:name w:val="headings"/>
    <w:basedOn w:val="arabnumitem"/>
    <w:pPr>
      <w:numPr>
        <w:numId w:val="7"/>
      </w:numPr>
    </w:pPr>
  </w:style>
  <w:style w:type="character" w:styleId="a5">
    <w:name w:val="Hyperlink"/>
    <w:basedOn w:val="a0"/>
    <w:semiHidden/>
    <w:unhideWhenUsed/>
    <w:rPr>
      <w:color w:val="auto"/>
      <w:u w:val="none"/>
    </w:rPr>
  </w:style>
  <w:style w:type="paragraph" w:customStyle="1" w:styleId="image">
    <w:name w:val="image"/>
    <w:basedOn w:val="a"/>
    <w:next w:val="a"/>
    <w:pPr>
      <w:spacing w:before="240" w:after="120"/>
      <w:ind w:firstLine="0"/>
      <w:jc w:val="center"/>
    </w:pPr>
  </w:style>
  <w:style w:type="numbering" w:customStyle="1" w:styleId="itemization1">
    <w:name w:val="itemization1"/>
    <w:basedOn w:val="a2"/>
    <w:pPr>
      <w:numPr>
        <w:numId w:val="1"/>
      </w:numPr>
    </w:pPr>
  </w:style>
  <w:style w:type="numbering" w:customStyle="1" w:styleId="itemization2">
    <w:name w:val="itemization2"/>
    <w:basedOn w:val="a2"/>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a6">
    <w:name w:val="header"/>
    <w:basedOn w:val="a"/>
    <w:semiHidden/>
    <w:unhideWhenUsed/>
    <w:pPr>
      <w:tabs>
        <w:tab w:val="center" w:pos="4536"/>
        <w:tab w:val="right" w:pos="9072"/>
      </w:tabs>
      <w:ind w:firstLine="0"/>
    </w:pPr>
    <w:rPr>
      <w:sz w:val="18"/>
      <w:szCs w:val="18"/>
    </w:rPr>
  </w:style>
  <w:style w:type="paragraph" w:customStyle="1" w:styleId="numitem">
    <w:name w:val="numitem"/>
    <w:basedOn w:val="a"/>
    <w:pPr>
      <w:numPr>
        <w:numId w:val="6"/>
      </w:numPr>
      <w:spacing w:before="160" w:after="160"/>
      <w:contextualSpacing/>
    </w:pPr>
  </w:style>
  <w:style w:type="paragraph" w:customStyle="1" w:styleId="p1a">
    <w:name w:val="p1a"/>
    <w:basedOn w:val="a"/>
    <w:next w:val="a"/>
    <w:pPr>
      <w:ind w:firstLine="0"/>
    </w:pPr>
  </w:style>
  <w:style w:type="paragraph" w:customStyle="1" w:styleId="programcode">
    <w:name w:val="programcode"/>
    <w:basedOn w:val="a"/>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a"/>
    <w:pPr>
      <w:numPr>
        <w:numId w:val="9"/>
      </w:numPr>
      <w:spacing w:line="220" w:lineRule="atLeast"/>
    </w:pPr>
    <w:rPr>
      <w:sz w:val="18"/>
    </w:rPr>
  </w:style>
  <w:style w:type="numbering" w:customStyle="1" w:styleId="referencelist">
    <w:name w:val="referencelist"/>
    <w:basedOn w:val="a2"/>
    <w:semiHidden/>
    <w:pPr>
      <w:numPr>
        <w:numId w:val="8"/>
      </w:numPr>
    </w:pPr>
  </w:style>
  <w:style w:type="paragraph" w:customStyle="1" w:styleId="runninghead-left">
    <w:name w:val="running head - left"/>
    <w:basedOn w:val="a"/>
    <w:pPr>
      <w:ind w:firstLine="0"/>
      <w:jc w:val="left"/>
    </w:pPr>
    <w:rPr>
      <w:sz w:val="18"/>
      <w:szCs w:val="18"/>
    </w:rPr>
  </w:style>
  <w:style w:type="paragraph" w:customStyle="1" w:styleId="runninghead-right">
    <w:name w:val="running head - right"/>
    <w:basedOn w:val="a"/>
    <w:pPr>
      <w:ind w:firstLine="0"/>
      <w:jc w:val="right"/>
    </w:pPr>
    <w:rPr>
      <w:bCs/>
      <w:sz w:val="18"/>
      <w:szCs w:val="18"/>
    </w:rPr>
  </w:style>
  <w:style w:type="character" w:styleId="a7">
    <w:name w:val="page number"/>
    <w:basedOn w:val="a0"/>
    <w:semiHidden/>
    <w:unhideWhenUsed/>
    <w:rPr>
      <w:sz w:val="18"/>
    </w:rPr>
  </w:style>
  <w:style w:type="paragraph" w:customStyle="1" w:styleId="papertitle">
    <w:name w:val="papertitle"/>
    <w:basedOn w:val="a"/>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a"/>
    <w:next w:val="a"/>
    <w:pPr>
      <w:keepNext/>
      <w:keepLines/>
      <w:spacing w:before="240" w:after="120" w:line="220" w:lineRule="atLeast"/>
      <w:ind w:firstLine="0"/>
      <w:jc w:val="center"/>
    </w:pPr>
    <w:rPr>
      <w:sz w:val="18"/>
    </w:rPr>
  </w:style>
  <w:style w:type="character" w:customStyle="1" w:styleId="url">
    <w:name w:val="url"/>
    <w:basedOn w:val="a0"/>
    <w:rPr>
      <w:rFonts w:ascii="Courier" w:hAnsi="Courier"/>
      <w:noProof/>
    </w:rPr>
  </w:style>
  <w:style w:type="character" w:customStyle="1" w:styleId="ORCID">
    <w:name w:val="ORCID"/>
    <w:basedOn w:val="a0"/>
    <w:rPr>
      <w:position w:val="0"/>
      <w:vertAlign w:val="superscript"/>
    </w:rPr>
  </w:style>
  <w:style w:type="paragraph" w:styleId="a8">
    <w:name w:val="footnote text"/>
    <w:basedOn w:val="a"/>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Els-body-text">
    <w:name w:val="Els-body-text"/>
    <w:rsid w:val="00BA764E"/>
    <w:pPr>
      <w:spacing w:line="240" w:lineRule="exact"/>
      <w:ind w:firstLine="238"/>
      <w:jc w:val="both"/>
    </w:pPr>
    <w:rPr>
      <w:rFonts w:eastAsia="SimSun"/>
    </w:rPr>
  </w:style>
  <w:style w:type="paragraph" w:customStyle="1" w:styleId="Els-1storder-head">
    <w:name w:val="Els-1storder-head"/>
    <w:next w:val="Els-body-text"/>
    <w:rsid w:val="00F111F7"/>
    <w:pPr>
      <w:keepNext/>
      <w:numPr>
        <w:numId w:val="10"/>
      </w:numPr>
      <w:suppressAutoHyphens/>
      <w:spacing w:before="240" w:after="240" w:line="240" w:lineRule="exact"/>
    </w:pPr>
    <w:rPr>
      <w:rFonts w:eastAsia="SimSun"/>
      <w:b/>
    </w:rPr>
  </w:style>
  <w:style w:type="paragraph" w:customStyle="1" w:styleId="Els-2ndorder-head">
    <w:name w:val="Els-2ndorder-head"/>
    <w:next w:val="Els-body-text"/>
    <w:rsid w:val="00F111F7"/>
    <w:pPr>
      <w:keepNext/>
      <w:numPr>
        <w:ilvl w:val="1"/>
        <w:numId w:val="10"/>
      </w:numPr>
      <w:suppressAutoHyphens/>
      <w:spacing w:before="240" w:after="240" w:line="240" w:lineRule="exact"/>
    </w:pPr>
    <w:rPr>
      <w:rFonts w:eastAsia="SimSun"/>
      <w:i/>
    </w:rPr>
  </w:style>
  <w:style w:type="paragraph" w:customStyle="1" w:styleId="Els-3rdorder-head">
    <w:name w:val="Els-3rdorder-head"/>
    <w:next w:val="Els-body-text"/>
    <w:rsid w:val="00F111F7"/>
    <w:pPr>
      <w:keepNext/>
      <w:numPr>
        <w:ilvl w:val="2"/>
        <w:numId w:val="10"/>
      </w:numPr>
      <w:suppressAutoHyphens/>
      <w:spacing w:before="240" w:line="240" w:lineRule="exact"/>
    </w:pPr>
    <w:rPr>
      <w:rFonts w:eastAsia="SimSun"/>
      <w:i/>
    </w:rPr>
  </w:style>
  <w:style w:type="paragraph" w:customStyle="1" w:styleId="Els-4thorder-head">
    <w:name w:val="Els-4thorder-head"/>
    <w:next w:val="Els-body-text"/>
    <w:rsid w:val="00F111F7"/>
    <w:pPr>
      <w:keepNext/>
      <w:numPr>
        <w:ilvl w:val="3"/>
        <w:numId w:val="10"/>
      </w:numPr>
      <w:suppressAutoHyphens/>
      <w:spacing w:before="240" w:line="240" w:lineRule="exact"/>
    </w:pPr>
    <w:rPr>
      <w:rFonts w:eastAsia="SimSun"/>
      <w:i/>
    </w:rPr>
  </w:style>
  <w:style w:type="paragraph" w:styleId="a9">
    <w:name w:val="List Paragraph"/>
    <w:basedOn w:val="a"/>
    <w:uiPriority w:val="99"/>
    <w:qFormat/>
    <w:rsid w:val="00F111F7"/>
    <w:pPr>
      <w:widowControl w:val="0"/>
      <w:overflowPunct/>
      <w:autoSpaceDE/>
      <w:autoSpaceDN/>
      <w:adjustRightInd/>
      <w:spacing w:line="240" w:lineRule="auto"/>
      <w:ind w:left="720" w:firstLine="0"/>
      <w:contextualSpacing/>
      <w:jc w:val="left"/>
      <w:textAlignment w:val="auto"/>
    </w:pPr>
    <w:rPr>
      <w:rFonts w:eastAsia="SimSun"/>
      <w:lang w:val="en-GB"/>
    </w:rPr>
  </w:style>
  <w:style w:type="character" w:customStyle="1" w:styleId="longtext">
    <w:name w:val="long_text"/>
    <w:basedOn w:val="a0"/>
    <w:rsid w:val="00F111F7"/>
    <w:rPr>
      <w:rFonts w:cs="Times New Roman"/>
    </w:rPr>
  </w:style>
  <w:style w:type="paragraph" w:customStyle="1" w:styleId="Els-appendixsubhead">
    <w:name w:val="Els-appendixsubhead"/>
    <w:next w:val="a"/>
    <w:rsid w:val="00F111F7"/>
    <w:pPr>
      <w:numPr>
        <w:ilvl w:val="1"/>
        <w:numId w:val="14"/>
      </w:numPr>
      <w:spacing w:before="240" w:after="240" w:line="220" w:lineRule="exact"/>
    </w:pPr>
    <w:rPr>
      <w:rFonts w:eastAsia="SimSun"/>
      <w:i/>
    </w:rPr>
  </w:style>
  <w:style w:type="paragraph" w:customStyle="1" w:styleId="Els-caption">
    <w:name w:val="Els-caption"/>
    <w:uiPriority w:val="99"/>
    <w:rsid w:val="00F111F7"/>
    <w:pPr>
      <w:keepLines/>
      <w:spacing w:before="200" w:after="240" w:line="200" w:lineRule="exact"/>
    </w:pPr>
    <w:rPr>
      <w:rFonts w:eastAsia="SimSun"/>
      <w:sz w:val="16"/>
    </w:rPr>
  </w:style>
  <w:style w:type="paragraph" w:customStyle="1" w:styleId="Els-reference">
    <w:name w:val="Els-reference"/>
    <w:rsid w:val="001D4378"/>
    <w:pPr>
      <w:tabs>
        <w:tab w:val="left" w:pos="312"/>
      </w:tabs>
      <w:spacing w:line="200" w:lineRule="exact"/>
      <w:ind w:left="312" w:hanging="312"/>
    </w:pPr>
    <w:rPr>
      <w:rFonts w:eastAsia="SimSun"/>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abstract" Type="http://schemas.openxmlformats.org/officeDocument/2006/relationships/image" Target="images/abstract.ICO"/><Relationship Id="arrowright" Type="http://schemas.openxmlformats.org/officeDocument/2006/relationships/image" Target="images/arrowright.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79</TotalTime>
  <Pages>3</Pages>
  <Words>979</Words>
  <Characters>5585</Characters>
  <Application>Microsoft Office Word</Application>
  <DocSecurity>0</DocSecurity>
  <Lines>46</Lines>
  <Paragraphs>13</Paragraphs>
  <ScaleCrop>false</ScaleCrop>
  <HeadingPairs>
    <vt:vector size="6" baseType="variant">
      <vt:variant>
        <vt:lpstr>Назва</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dataspect IT-Services, Neckargemuend, Germany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Olha Zvirko</cp:lastModifiedBy>
  <cp:revision>18</cp:revision>
  <cp:lastPrinted>2024-04-30T14:39:00Z</cp:lastPrinted>
  <dcterms:created xsi:type="dcterms:W3CDTF">2023-03-17T17:59:00Z</dcterms:created>
  <dcterms:modified xsi:type="dcterms:W3CDTF">2024-04-30T14:40:00Z</dcterms:modified>
</cp:coreProperties>
</file>