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E" w:rsidRPr="00961B86" w:rsidRDefault="00055730" w:rsidP="00C24DEF">
      <w:pPr>
        <w:pStyle w:val="papertitle"/>
        <w:rPr>
          <w:lang w:val="uk-UA"/>
        </w:rPr>
      </w:pPr>
      <w:r w:rsidRPr="00961B86">
        <w:rPr>
          <w:lang w:val="uk-UA"/>
        </w:rPr>
        <w:t>Оптимізація режимів різання на важких верстатах</w:t>
      </w:r>
    </w:p>
    <w:p w:rsidR="00C24DEF" w:rsidRPr="00961B86" w:rsidRDefault="002E472C" w:rsidP="00961B86">
      <w:pPr>
        <w:pStyle w:val="author"/>
        <w:rPr>
          <w:lang w:val="uk-UA"/>
        </w:rPr>
      </w:pPr>
      <w:r w:rsidRPr="00961B86">
        <w:rPr>
          <w:lang w:val="uk-UA"/>
        </w:rPr>
        <w:t>Ковальов В.</w:t>
      </w:r>
      <w:r w:rsidR="00961B86">
        <w:rPr>
          <w:lang w:val="uk-UA"/>
        </w:rPr>
        <w:t> </w:t>
      </w:r>
      <w:r w:rsidRPr="00961B86">
        <w:rPr>
          <w:lang w:val="uk-UA"/>
        </w:rPr>
        <w:t>Д</w:t>
      </w:r>
      <w:r w:rsidR="00703A45" w:rsidRPr="00961B86">
        <w:rPr>
          <w:lang w:val="uk-UA"/>
        </w:rPr>
        <w:t>.</w:t>
      </w:r>
      <w:r w:rsidR="00E666E4" w:rsidRPr="00961B86">
        <w:rPr>
          <w:lang w:val="uk-UA"/>
        </w:rPr>
        <w:t>, Клименко Г.</w:t>
      </w:r>
      <w:r w:rsidR="00961B86">
        <w:rPr>
          <w:lang w:val="uk-UA"/>
        </w:rPr>
        <w:t> </w:t>
      </w:r>
      <w:r w:rsidR="00E666E4" w:rsidRPr="00961B86">
        <w:rPr>
          <w:lang w:val="uk-UA"/>
        </w:rPr>
        <w:t xml:space="preserve">П., </w:t>
      </w:r>
      <w:r w:rsidRPr="00961B86">
        <w:rPr>
          <w:lang w:val="uk-UA"/>
        </w:rPr>
        <w:t>Васильченко Я.</w:t>
      </w:r>
      <w:r w:rsidR="00961B86">
        <w:rPr>
          <w:lang w:val="uk-UA"/>
        </w:rPr>
        <w:t> </w:t>
      </w:r>
      <w:r w:rsidRPr="00961B86">
        <w:rPr>
          <w:lang w:val="uk-UA"/>
        </w:rPr>
        <w:t>В.</w:t>
      </w:r>
      <w:r w:rsidR="00703A45" w:rsidRPr="00961B86">
        <w:rPr>
          <w:lang w:val="uk-UA"/>
        </w:rPr>
        <w:t xml:space="preserve">, </w:t>
      </w:r>
      <w:proofErr w:type="spellStart"/>
      <w:r w:rsidRPr="00961B86">
        <w:rPr>
          <w:lang w:val="uk-UA"/>
        </w:rPr>
        <w:t>Шаповалов</w:t>
      </w:r>
      <w:proofErr w:type="spellEnd"/>
      <w:r w:rsidRPr="00961B86">
        <w:rPr>
          <w:lang w:val="uk-UA"/>
        </w:rPr>
        <w:t xml:space="preserve"> М.</w:t>
      </w:r>
      <w:r w:rsidR="00961B86">
        <w:rPr>
          <w:lang w:val="uk-UA"/>
        </w:rPr>
        <w:t> </w:t>
      </w:r>
      <w:r w:rsidRPr="00961B86">
        <w:rPr>
          <w:lang w:val="uk-UA"/>
        </w:rPr>
        <w:t>В.</w:t>
      </w:r>
      <w:r w:rsidR="00961B86">
        <w:rPr>
          <w:lang w:val="uk-UA"/>
        </w:rPr>
        <w:t>, Григоренко Д. М.</w:t>
      </w:r>
    </w:p>
    <w:p w:rsidR="002E472C" w:rsidRPr="00961B86" w:rsidRDefault="002E472C" w:rsidP="00961B86">
      <w:pPr>
        <w:pStyle w:val="address"/>
        <w:rPr>
          <w:lang w:val="uk-UA"/>
        </w:rPr>
      </w:pPr>
      <w:r w:rsidRPr="00961B86">
        <w:rPr>
          <w:lang w:val="uk-UA"/>
        </w:rPr>
        <w:t>Донбаська державна машинобудівна академія, вул. Академічна, 72, Краматорськ, 84313,       Україна</w:t>
      </w:r>
    </w:p>
    <w:p w:rsidR="002E472C" w:rsidRPr="00961B86" w:rsidRDefault="000E4847" w:rsidP="00961B86">
      <w:pPr>
        <w:pStyle w:val="address"/>
        <w:rPr>
          <w:color w:val="FF0000"/>
          <w:lang w:val="uk-UA"/>
        </w:rPr>
      </w:pPr>
      <w:hyperlink r:id="rId7" w:history="1">
        <w:r w:rsidR="002E472C" w:rsidRPr="00961B86">
          <w:rPr>
            <w:rStyle w:val="a5"/>
            <w:rFonts w:ascii="Courier New" w:hAnsi="Courier New" w:cs="Courier New"/>
            <w:noProof/>
            <w:lang w:val="uk-UA"/>
          </w:rPr>
          <w:t>wasilchenko.ua@gmail.com</w:t>
        </w:r>
      </w:hyperlink>
    </w:p>
    <w:p w:rsidR="00C24DEF" w:rsidRPr="00961B86" w:rsidRDefault="009B2539" w:rsidP="00961B86">
      <w:pPr>
        <w:pStyle w:val="keywords"/>
        <w:ind w:left="0"/>
        <w:jc w:val="center"/>
        <w:rPr>
          <w:lang w:val="uk-UA"/>
        </w:rPr>
      </w:pPr>
      <w:proofErr w:type="spellStart"/>
      <w:r w:rsidRPr="00961B86">
        <w:rPr>
          <w:b/>
          <w:bCs/>
          <w:lang w:val="uk-UA"/>
        </w:rPr>
        <w:t>Keywords</w:t>
      </w:r>
      <w:proofErr w:type="spellEnd"/>
      <w:r w:rsidRPr="00961B86">
        <w:rPr>
          <w:b/>
          <w:bCs/>
          <w:lang w:val="uk-UA"/>
        </w:rPr>
        <w:t>:</w:t>
      </w:r>
      <w:r w:rsidRPr="00961B86">
        <w:rPr>
          <w:lang w:val="uk-UA"/>
        </w:rPr>
        <w:t xml:space="preserve"> </w:t>
      </w:r>
      <w:r w:rsidR="00703A45" w:rsidRPr="00961B86">
        <w:rPr>
          <w:lang w:val="uk-UA"/>
        </w:rPr>
        <w:t>в</w:t>
      </w:r>
      <w:r w:rsidR="00A82D9E" w:rsidRPr="00961B86">
        <w:rPr>
          <w:lang w:val="uk-UA"/>
        </w:rPr>
        <w:t>ажкий верстат</w:t>
      </w:r>
      <w:r w:rsidRPr="00961B86">
        <w:rPr>
          <w:lang w:val="uk-UA"/>
        </w:rPr>
        <w:t xml:space="preserve">, </w:t>
      </w:r>
      <w:r w:rsidR="00703A45" w:rsidRPr="00961B86">
        <w:rPr>
          <w:lang w:val="uk-UA"/>
        </w:rPr>
        <w:t>р</w:t>
      </w:r>
      <w:r w:rsidR="00E666E4" w:rsidRPr="00961B86">
        <w:rPr>
          <w:lang w:val="uk-UA"/>
        </w:rPr>
        <w:t>ізальний інструмент</w:t>
      </w:r>
      <w:r w:rsidR="00703A45" w:rsidRPr="00961B86">
        <w:rPr>
          <w:lang w:val="uk-UA"/>
        </w:rPr>
        <w:t>,</w:t>
      </w:r>
      <w:r w:rsidRPr="00961B86">
        <w:rPr>
          <w:lang w:val="uk-UA"/>
        </w:rPr>
        <w:t xml:space="preserve"> </w:t>
      </w:r>
      <w:r w:rsidR="00703A45" w:rsidRPr="00961B86">
        <w:rPr>
          <w:lang w:val="uk-UA"/>
        </w:rPr>
        <w:t>о</w:t>
      </w:r>
      <w:r w:rsidR="00E666E4" w:rsidRPr="00961B86">
        <w:rPr>
          <w:lang w:val="uk-UA"/>
        </w:rPr>
        <w:t>птимізація</w:t>
      </w:r>
      <w:r w:rsidRPr="00961B86">
        <w:rPr>
          <w:lang w:val="uk-UA"/>
        </w:rPr>
        <w:t>.</w:t>
      </w:r>
    </w:p>
    <w:p w:rsidR="00055730" w:rsidRPr="00961B86" w:rsidRDefault="00055730" w:rsidP="00961B86">
      <w:pPr>
        <w:ind w:firstLine="0"/>
        <w:rPr>
          <w:lang w:val="uk-UA"/>
        </w:rPr>
      </w:pPr>
      <w:r w:rsidRPr="00961B86">
        <w:rPr>
          <w:lang w:val="uk-UA"/>
        </w:rPr>
        <w:t>Широке впровадження нових конструкційних і інструментальних матеріалів, високопродуктивного обладнання з ЧПУ та адаптивних систем управління, передбачає застосування сучасного підходу до проектування технологічних систем. Вимоги, що пред'являються до високоефективної металообробки, припускають раціональну експлуатацію дорогого устаткування, програмного забезпечення та ріжучого інструменту. У зв'язку з цим задачам оптимізації та управлінню процесом різання приділяється велика увага.</w:t>
      </w:r>
    </w:p>
    <w:p w:rsidR="00C46D10" w:rsidRPr="00961B86" w:rsidRDefault="00C46D10" w:rsidP="00C46D10">
      <w:pPr>
        <w:rPr>
          <w:rFonts w:eastAsiaTheme="minorEastAsia"/>
          <w:szCs w:val="24"/>
          <w:lang w:val="uk-UA"/>
        </w:rPr>
      </w:pPr>
      <w:r w:rsidRPr="00961B86">
        <w:rPr>
          <w:szCs w:val="24"/>
          <w:lang w:val="uk-UA"/>
        </w:rPr>
        <w:t xml:space="preserve">Сучасний підхід до вирішення задачі вибору оптимальних умов різання ґрунтується на використанні методів математичного програмування. Відповідно до цього підходу постановка задачі оптимізації режимів різання полягає в тім, щоб за даними вимогами до виготовленої деталі </w:t>
      </w:r>
      <w:r w:rsidR="000A7143" w:rsidRPr="00961B86">
        <w:rPr>
          <w:szCs w:val="24"/>
          <w:lang w:val="uk-UA"/>
        </w:rPr>
        <w:t xml:space="preserve">та відомими параметрами технологічної системи </w:t>
      </w:r>
      <w:r w:rsidRPr="00961B86">
        <w:rPr>
          <w:szCs w:val="24"/>
          <w:lang w:val="uk-UA"/>
        </w:rPr>
        <w:t xml:space="preserve">необхідно знайти параметри процесу різання, що забезпечують екстремальне значення критерію оптимальності технологічного процесу. </w:t>
      </w:r>
      <w:r w:rsidRPr="00961B86">
        <w:rPr>
          <w:rFonts w:eastAsiaTheme="minorEastAsia"/>
          <w:szCs w:val="24"/>
          <w:lang w:val="uk-UA"/>
        </w:rPr>
        <w:t>На рис.</w:t>
      </w:r>
      <w:r w:rsidR="003C1EA7" w:rsidRPr="00961B86">
        <w:rPr>
          <w:rFonts w:eastAsiaTheme="minorEastAsia"/>
          <w:szCs w:val="24"/>
          <w:lang w:val="uk-UA"/>
        </w:rPr>
        <w:t>1</w:t>
      </w:r>
      <w:r w:rsidRPr="00961B86">
        <w:rPr>
          <w:rFonts w:eastAsiaTheme="minorEastAsia"/>
          <w:szCs w:val="24"/>
          <w:lang w:val="uk-UA"/>
        </w:rPr>
        <w:t xml:space="preserve"> представлена залежність технологічної собівартості оброблення від швидкості різання та подачі при роботі твердосплавним інструментом.</w:t>
      </w:r>
    </w:p>
    <w:p w:rsidR="00C46D10" w:rsidRPr="00961B86" w:rsidRDefault="00C46D10" w:rsidP="00961B86">
      <w:pPr>
        <w:spacing w:before="360"/>
        <w:ind w:firstLine="0"/>
        <w:jc w:val="center"/>
        <w:rPr>
          <w:lang w:val="uk-UA"/>
        </w:rPr>
      </w:pPr>
      <w:r w:rsidRPr="00961B86">
        <w:rPr>
          <w:rFonts w:eastAsiaTheme="minorEastAsia"/>
          <w:noProof/>
          <w:szCs w:val="24"/>
          <w:lang w:val="uk-UA" w:eastAsia="ru-RU"/>
        </w:rPr>
        <w:drawing>
          <wp:inline distT="0" distB="0" distL="0" distR="0" wp14:anchorId="1EA31A46" wp14:editId="7233A620">
            <wp:extent cx="1959165" cy="1546225"/>
            <wp:effectExtent l="0" t="0" r="3175" b="0"/>
            <wp:docPr id="11" name="Рисунок 11" descr="G:\Для статьи\Залежність технологіч собівар від V та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ля статьи\Залежність технологіч собівар від V та 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22" cy="167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88" w:rsidRPr="00961B86" w:rsidRDefault="00C46D10" w:rsidP="00C46D10">
      <w:pPr>
        <w:pStyle w:val="figurecaption"/>
        <w:rPr>
          <w:lang w:val="uk-UA"/>
        </w:rPr>
      </w:pPr>
      <w:bookmarkStart w:id="0" w:name="_Ref467515387"/>
      <w:r w:rsidRPr="00961B86">
        <w:rPr>
          <w:b/>
          <w:lang w:val="uk-UA"/>
        </w:rPr>
        <w:t>Рис</w:t>
      </w:r>
      <w:r w:rsidR="009B2539" w:rsidRPr="00961B86">
        <w:rPr>
          <w:b/>
          <w:lang w:val="uk-UA"/>
        </w:rPr>
        <w:t xml:space="preserve">. </w:t>
      </w:r>
      <w:r w:rsidR="009B2539" w:rsidRPr="00961B86">
        <w:rPr>
          <w:b/>
          <w:lang w:val="uk-UA"/>
        </w:rPr>
        <w:fldChar w:fldCharType="begin"/>
      </w:r>
      <w:r w:rsidR="009B2539" w:rsidRPr="00961B86">
        <w:rPr>
          <w:b/>
          <w:lang w:val="uk-UA"/>
        </w:rPr>
        <w:instrText xml:space="preserve"> SEQ "Figure" \* MERGEFORMAT </w:instrText>
      </w:r>
      <w:r w:rsidR="009B2539" w:rsidRPr="00961B86">
        <w:rPr>
          <w:b/>
          <w:lang w:val="uk-UA"/>
        </w:rPr>
        <w:fldChar w:fldCharType="separate"/>
      </w:r>
      <w:r w:rsidR="008F2D4C" w:rsidRPr="00961B86">
        <w:rPr>
          <w:b/>
          <w:noProof/>
          <w:lang w:val="uk-UA"/>
        </w:rPr>
        <w:t>1</w:t>
      </w:r>
      <w:r w:rsidR="009B2539" w:rsidRPr="00961B86">
        <w:rPr>
          <w:b/>
          <w:lang w:val="uk-UA"/>
        </w:rPr>
        <w:fldChar w:fldCharType="end"/>
      </w:r>
      <w:bookmarkEnd w:id="0"/>
      <w:r w:rsidR="009B2539" w:rsidRPr="00961B86">
        <w:rPr>
          <w:b/>
          <w:lang w:val="uk-UA"/>
        </w:rPr>
        <w:t>.</w:t>
      </w:r>
      <w:r w:rsidRPr="00961B86">
        <w:rPr>
          <w:lang w:val="uk-UA"/>
        </w:rPr>
        <w:t xml:space="preserve"> Залежність технологічної собівартості оброблення від швидкості різання та подачі</w:t>
      </w:r>
      <w:bookmarkStart w:id="1" w:name="_GoBack"/>
      <w:bookmarkEnd w:id="1"/>
    </w:p>
    <w:p w:rsidR="003C1EA7" w:rsidRPr="00961B86" w:rsidRDefault="003C1EA7" w:rsidP="00961B86">
      <w:pPr>
        <w:ind w:firstLine="0"/>
        <w:rPr>
          <w:rStyle w:val="shorttext"/>
          <w:lang w:val="uk-UA"/>
        </w:rPr>
      </w:pPr>
      <w:r w:rsidRPr="00961B86">
        <w:rPr>
          <w:rFonts w:eastAsiaTheme="minorEastAsia"/>
          <w:szCs w:val="24"/>
          <w:lang w:val="uk-UA"/>
        </w:rPr>
        <w:lastRenderedPageBreak/>
        <w:t xml:space="preserve">Статистичні дослідження показали, що 45% ріжучого інструменту (РІ) при роботі на важки верстатах виходить із ладу в результаті поломок. Тому необхідно враховувати </w:t>
      </w:r>
      <w:r w:rsidRPr="00961B86">
        <w:rPr>
          <w:rStyle w:val="shorttext"/>
          <w:lang w:val="uk-UA"/>
        </w:rPr>
        <w:t xml:space="preserve">ймовірність руйнування та рівень надійність </w:t>
      </w:r>
      <w:r w:rsidR="000A7143" w:rsidRPr="00961B86">
        <w:rPr>
          <w:rStyle w:val="shorttext"/>
          <w:lang w:val="uk-UA"/>
        </w:rPr>
        <w:t>різального інструменту</w:t>
      </w:r>
      <w:r w:rsidRPr="00961B86">
        <w:rPr>
          <w:rStyle w:val="shorttext"/>
          <w:lang w:val="uk-UA"/>
        </w:rPr>
        <w:t xml:space="preserve">. Для цього в роботі </w:t>
      </w:r>
      <w:r w:rsidRPr="00961B86">
        <w:rPr>
          <w:lang w:val="uk-UA"/>
        </w:rPr>
        <w:t>[</w:t>
      </w:r>
      <w:r w:rsidR="00E666E4" w:rsidRPr="00961B86">
        <w:rPr>
          <w:lang w:val="uk-UA"/>
        </w:rPr>
        <w:t>1</w:t>
      </w:r>
      <w:r w:rsidRPr="00961B86">
        <w:rPr>
          <w:lang w:val="uk-UA"/>
        </w:rPr>
        <w:t xml:space="preserve">] </w:t>
      </w:r>
      <w:r w:rsidRPr="00961B86">
        <w:rPr>
          <w:rStyle w:val="shorttext"/>
          <w:lang w:val="uk-UA"/>
        </w:rPr>
        <w:t xml:space="preserve">визначено цільові функції та </w:t>
      </w:r>
      <w:proofErr w:type="spellStart"/>
      <w:r w:rsidRPr="00961B86">
        <w:rPr>
          <w:rStyle w:val="shorttext"/>
          <w:lang w:val="uk-UA"/>
        </w:rPr>
        <w:t>стійкістну</w:t>
      </w:r>
      <w:proofErr w:type="spellEnd"/>
      <w:r w:rsidRPr="00961B86">
        <w:rPr>
          <w:rStyle w:val="shorttext"/>
          <w:lang w:val="uk-UA"/>
        </w:rPr>
        <w:t xml:space="preserve"> залежність інструменту з урахуванням цих параметрів. При цьому прийнято, що період стійкості твердосплавних інструментів на важких верстатах розподілявся </w:t>
      </w:r>
      <w:r w:rsidR="000A7143" w:rsidRPr="00961B86">
        <w:rPr>
          <w:rStyle w:val="shorttext"/>
          <w:lang w:val="uk-UA"/>
        </w:rPr>
        <w:t>за</w:t>
      </w:r>
      <w:r w:rsidRPr="00961B86">
        <w:rPr>
          <w:rStyle w:val="shorttext"/>
          <w:lang w:val="uk-UA"/>
        </w:rPr>
        <w:t xml:space="preserve"> закон</w:t>
      </w:r>
      <w:r w:rsidR="000A7143" w:rsidRPr="00961B86">
        <w:rPr>
          <w:rStyle w:val="shorttext"/>
          <w:lang w:val="uk-UA"/>
        </w:rPr>
        <w:t>ом</w:t>
      </w:r>
      <w:r w:rsidRPr="00961B86">
        <w:rPr>
          <w:rStyle w:val="shorttext"/>
          <w:lang w:val="uk-UA"/>
        </w:rPr>
        <w:t xml:space="preserve"> </w:t>
      </w:r>
      <w:proofErr w:type="spellStart"/>
      <w:r w:rsidRPr="00961B86">
        <w:rPr>
          <w:rStyle w:val="shorttext"/>
          <w:lang w:val="uk-UA"/>
        </w:rPr>
        <w:t>Вейбулла</w:t>
      </w:r>
      <w:proofErr w:type="spellEnd"/>
      <w:r w:rsidRPr="00961B86">
        <w:rPr>
          <w:rStyle w:val="shorttext"/>
          <w:lang w:val="uk-UA"/>
        </w:rPr>
        <w:t xml:space="preserve"> з параметрами </w:t>
      </w:r>
      <w:r w:rsidRPr="00961B86">
        <w:rPr>
          <w:rStyle w:val="shorttext"/>
          <w:i/>
          <w:lang w:val="uk-UA"/>
        </w:rPr>
        <w:t>a</w:t>
      </w:r>
      <w:r w:rsidRPr="00961B86">
        <w:rPr>
          <w:rStyle w:val="shorttext"/>
          <w:lang w:val="uk-UA"/>
        </w:rPr>
        <w:t xml:space="preserve"> та </w:t>
      </w:r>
      <w:r w:rsidRPr="00961B86">
        <w:rPr>
          <w:rStyle w:val="shorttext"/>
          <w:i/>
          <w:lang w:val="uk-UA"/>
        </w:rPr>
        <w:t xml:space="preserve">b, </w:t>
      </w:r>
      <w:r w:rsidRPr="00961B86">
        <w:rPr>
          <w:rStyle w:val="shorttext"/>
          <w:lang w:val="uk-UA"/>
        </w:rPr>
        <w:t xml:space="preserve">а в якості економічного критерію оптимальності приймаються приведені витрати, які залежать не тільки від традиційних параметрів, а також від ймовірності руйнування інструменту </w:t>
      </w:r>
      <w:r w:rsidRPr="00961B86">
        <w:rPr>
          <w:rStyle w:val="shorttext"/>
          <w:i/>
          <w:lang w:val="uk-UA"/>
        </w:rPr>
        <w:t xml:space="preserve">q, </w:t>
      </w:r>
      <w:r w:rsidRPr="00961B86">
        <w:rPr>
          <w:rStyle w:val="shorttext"/>
          <w:lang w:val="uk-UA"/>
        </w:rPr>
        <w:t xml:space="preserve">від кількості періодів стійкості інструмента К та від рівня надійності </w:t>
      </w:r>
      <w:r w:rsidRPr="00961B86">
        <w:rPr>
          <w:rStyle w:val="shorttext"/>
          <w:rFonts w:ascii="Cambria Math" w:hAnsi="Cambria Math"/>
          <w:lang w:val="uk-UA"/>
        </w:rPr>
        <w:t>𝛾</w:t>
      </w:r>
      <w:r w:rsidRPr="00961B86">
        <w:rPr>
          <w:rStyle w:val="shorttext"/>
          <w:lang w:val="uk-UA"/>
        </w:rPr>
        <w:t xml:space="preserve"> РІ.</w:t>
      </w:r>
    </w:p>
    <w:p w:rsidR="003C1EA7" w:rsidRPr="00961B86" w:rsidRDefault="003C1EA7" w:rsidP="003C1EA7">
      <w:pPr>
        <w:rPr>
          <w:rStyle w:val="shorttext"/>
          <w:lang w:val="uk-UA"/>
        </w:rPr>
      </w:pPr>
      <w:r w:rsidRPr="00961B86">
        <w:rPr>
          <w:rStyle w:val="shorttext"/>
          <w:lang w:val="uk-UA"/>
        </w:rPr>
        <w:t xml:space="preserve">Зі збільшенням розмірів верстата економічна стійкість падає, так як зменшується відношення витрат на інструмент до витрат на верстат  і його експлуатацію. Разом з цим при точінні великогабаритних деталей на важких верстатах при </w:t>
      </w:r>
      <w:proofErr w:type="spellStart"/>
      <w:r w:rsidRPr="00961B86">
        <w:rPr>
          <w:rStyle w:val="shorttext"/>
          <w:lang w:val="uk-UA"/>
        </w:rPr>
        <w:t>Dc</w:t>
      </w:r>
      <w:proofErr w:type="spellEnd"/>
      <w:r w:rsidRPr="00961B86">
        <w:rPr>
          <w:rStyle w:val="shorttext"/>
          <w:lang w:val="uk-UA"/>
        </w:rPr>
        <w:t>&gt; 1600 мм спостерігається збільшення фактичної стійкості РІ. Це обумовлено  фізичн</w:t>
      </w:r>
      <w:r w:rsidR="00A65D0A" w:rsidRPr="00961B86">
        <w:rPr>
          <w:rStyle w:val="shorttext"/>
          <w:lang w:val="uk-UA"/>
        </w:rPr>
        <w:t>им</w:t>
      </w:r>
      <w:r w:rsidRPr="00961B86">
        <w:rPr>
          <w:rStyle w:val="shorttext"/>
          <w:lang w:val="uk-UA"/>
        </w:rPr>
        <w:t xml:space="preserve"> і психічн</w:t>
      </w:r>
      <w:r w:rsidR="00A65D0A" w:rsidRPr="00961B86">
        <w:rPr>
          <w:rStyle w:val="shorttext"/>
          <w:lang w:val="uk-UA"/>
        </w:rPr>
        <w:t>им</w:t>
      </w:r>
      <w:r w:rsidRPr="00961B86">
        <w:rPr>
          <w:rStyle w:val="shorttext"/>
          <w:lang w:val="uk-UA"/>
        </w:rPr>
        <w:t xml:space="preserve"> навантаження на верстатника, що, в свою чергу, впливає на зниження середнього часу відновлення процесу різання. На рис.</w:t>
      </w:r>
      <w:r w:rsidR="00E666E4" w:rsidRPr="00961B86">
        <w:rPr>
          <w:rStyle w:val="shorttext"/>
          <w:lang w:val="uk-UA"/>
        </w:rPr>
        <w:t>2</w:t>
      </w:r>
      <w:r w:rsidRPr="00961B86">
        <w:rPr>
          <w:rStyle w:val="shorttext"/>
          <w:lang w:val="uk-UA"/>
        </w:rPr>
        <w:t xml:space="preserve"> наглядно показано зміну періоду стійкості.</w:t>
      </w:r>
    </w:p>
    <w:p w:rsidR="00C46D10" w:rsidRPr="00961B86" w:rsidRDefault="00C46D10" w:rsidP="00C46D10">
      <w:pPr>
        <w:rPr>
          <w:lang w:val="uk-UA"/>
        </w:rPr>
      </w:pPr>
    </w:p>
    <w:p w:rsidR="00C46D10" w:rsidRPr="00961B86" w:rsidRDefault="00C46D10" w:rsidP="00961B86">
      <w:pPr>
        <w:ind w:firstLine="0"/>
        <w:jc w:val="center"/>
        <w:rPr>
          <w:lang w:val="uk-UA"/>
        </w:rPr>
      </w:pPr>
      <w:r w:rsidRPr="00961B86">
        <w:rPr>
          <w:noProof/>
          <w:lang w:val="uk-UA" w:eastAsia="ru-RU"/>
        </w:rPr>
        <w:drawing>
          <wp:inline distT="0" distB="0" distL="0" distR="0" wp14:anchorId="260F1105" wp14:editId="2B0CAED4">
            <wp:extent cx="4091061" cy="1920240"/>
            <wp:effectExtent l="0" t="0" r="5080" b="3810"/>
            <wp:docPr id="16" name="Рисунок 16" descr="G:\Для статьи\Період стійкості Р та час їх замі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Для статьи\Період стійкості Р та час їх замі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4" t="5258" r="1467" b="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17" cy="194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10" w:rsidRPr="00961B86" w:rsidRDefault="00C46D10" w:rsidP="00C46D10">
      <w:pPr>
        <w:pStyle w:val="figurecaption"/>
        <w:rPr>
          <w:lang w:val="uk-UA"/>
        </w:rPr>
      </w:pPr>
      <w:r w:rsidRPr="00961B86">
        <w:rPr>
          <w:b/>
          <w:lang w:val="uk-UA"/>
        </w:rPr>
        <w:t>Рис. 2.</w:t>
      </w:r>
      <w:r w:rsidR="00703A45" w:rsidRPr="00961B86">
        <w:rPr>
          <w:lang w:val="uk-UA"/>
        </w:rPr>
        <w:t xml:space="preserve"> </w:t>
      </w:r>
      <w:r w:rsidRPr="00961B86">
        <w:rPr>
          <w:lang w:val="uk-UA"/>
        </w:rPr>
        <w:t>Періоди ст</w:t>
      </w:r>
      <w:r w:rsidR="00657058">
        <w:rPr>
          <w:lang w:val="uk-UA"/>
        </w:rPr>
        <w:t>ійкості різців та час їх заміни</w:t>
      </w:r>
    </w:p>
    <w:p w:rsidR="00C46D10" w:rsidRPr="00961B86" w:rsidRDefault="00C46D10" w:rsidP="00C46D10">
      <w:pPr>
        <w:jc w:val="center"/>
        <w:rPr>
          <w:lang w:val="uk-UA"/>
        </w:rPr>
      </w:pPr>
    </w:p>
    <w:p w:rsidR="00E666E4" w:rsidRPr="00961B86" w:rsidRDefault="00E666E4" w:rsidP="00961B86">
      <w:pPr>
        <w:ind w:firstLine="0"/>
        <w:rPr>
          <w:rStyle w:val="shorttext"/>
          <w:lang w:val="uk-UA"/>
        </w:rPr>
      </w:pPr>
      <w:r w:rsidRPr="00961B86">
        <w:rPr>
          <w:rStyle w:val="shorttext"/>
          <w:lang w:val="uk-UA"/>
        </w:rPr>
        <w:t xml:space="preserve">З урахуванням рівня надійності </w:t>
      </w:r>
      <w:r w:rsidRPr="00961B86">
        <w:rPr>
          <w:rStyle w:val="shorttext"/>
          <w:rFonts w:ascii="Cambria Math" w:hAnsi="Cambria Math"/>
          <w:lang w:val="uk-UA"/>
        </w:rPr>
        <w:t>𝛾</w:t>
      </w:r>
      <w:r w:rsidRPr="00961B86">
        <w:rPr>
          <w:rStyle w:val="shorttext"/>
          <w:lang w:val="uk-UA"/>
        </w:rPr>
        <w:t xml:space="preserve"> РІ, а також ймовірності його руйнування </w:t>
      </w:r>
      <w:r w:rsidRPr="00961B86">
        <w:rPr>
          <w:rStyle w:val="shorttext"/>
          <w:i/>
          <w:lang w:val="uk-UA"/>
        </w:rPr>
        <w:t xml:space="preserve">q, </w:t>
      </w:r>
      <w:r w:rsidRPr="00961B86">
        <w:rPr>
          <w:rStyle w:val="shorttext"/>
          <w:lang w:val="uk-UA"/>
        </w:rPr>
        <w:t>цільові функції приймають вигляд:</w:t>
      </w:r>
    </w:p>
    <w:p w:rsidR="00E666E4" w:rsidRDefault="00E666E4" w:rsidP="00100734">
      <w:pPr>
        <w:ind w:hanging="142"/>
        <w:jc w:val="center"/>
        <w:rPr>
          <w:lang w:val="uk-UA"/>
        </w:rPr>
      </w:pPr>
      <w:r w:rsidRPr="00961B86">
        <w:rPr>
          <w:position w:val="-28"/>
          <w:lang w:val="uk-UA"/>
        </w:rPr>
        <w:object w:dxaOrig="61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2pt;height:43.2pt" o:ole="" fillcolor="window">
            <v:imagedata r:id="rId10" o:title=""/>
          </v:shape>
          <o:OLEObject Type="Embed" ProgID="Equation.3" ShapeID="_x0000_i1025" DrawAspect="Content" ObjectID="_1775418410" r:id="rId11"/>
        </w:object>
      </w:r>
      <w:r w:rsidR="00100734" w:rsidRPr="00961B86">
        <w:rPr>
          <w:lang w:val="uk-UA"/>
        </w:rPr>
        <w:t>,</w:t>
      </w:r>
    </w:p>
    <w:p w:rsidR="00961B86" w:rsidRPr="00961B86" w:rsidRDefault="00961B86" w:rsidP="00100734">
      <w:pPr>
        <w:ind w:hanging="142"/>
        <w:jc w:val="center"/>
        <w:rPr>
          <w:rStyle w:val="shorttext"/>
          <w:lang w:val="uk-UA"/>
        </w:rPr>
      </w:pP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r w:rsidRPr="00961B86">
        <w:rPr>
          <w:rStyle w:val="shorttext"/>
          <w:lang w:val="uk-UA"/>
        </w:rPr>
        <w:lastRenderedPageBreak/>
        <w:t xml:space="preserve">де </w:t>
      </w:r>
      <w:r w:rsidRPr="00961B86">
        <w:rPr>
          <w:i/>
          <w:spacing w:val="-6"/>
          <w:lang w:val="uk-UA"/>
        </w:rPr>
        <w:t>Е и Е</w:t>
      </w:r>
      <w:r w:rsidRPr="00961B86">
        <w:rPr>
          <w:i/>
          <w:spacing w:val="-6"/>
          <w:vertAlign w:val="subscript"/>
          <w:lang w:val="uk-UA"/>
        </w:rPr>
        <w:t>1</w:t>
      </w:r>
      <w:r w:rsidRPr="00961B86">
        <w:rPr>
          <w:spacing w:val="-6"/>
          <w:lang w:val="uk-UA"/>
        </w:rPr>
        <w:t>–</w:t>
      </w:r>
      <w:r w:rsidRPr="00961B86">
        <w:rPr>
          <w:lang w:val="uk-UA"/>
        </w:rPr>
        <w:t xml:space="preserve"> відповідно вартість хвилини роботи і простою верстата, </w:t>
      </w:r>
      <w:proofErr w:type="spellStart"/>
      <w:r w:rsidRPr="00961B86">
        <w:rPr>
          <w:lang w:val="uk-UA"/>
        </w:rPr>
        <w:t>коп</w:t>
      </w:r>
      <w:proofErr w:type="spellEnd"/>
      <w:r w:rsidRPr="00961B86">
        <w:rPr>
          <w:lang w:val="uk-UA"/>
        </w:rPr>
        <w:t>-хв;</w:t>
      </w: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r w:rsidRPr="00961B86">
        <w:rPr>
          <w:i/>
          <w:lang w:val="uk-UA"/>
        </w:rPr>
        <w:t>V, S</w:t>
      </w:r>
      <w:r w:rsidRPr="00961B86">
        <w:rPr>
          <w:lang w:val="uk-UA"/>
        </w:rPr>
        <w:t xml:space="preserve"> – відповідно швидкість різання, м/хв., подача, мм/об; </w:t>
      </w: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proofErr w:type="spellStart"/>
      <w:r w:rsidRPr="00961B86">
        <w:rPr>
          <w:lang w:val="uk-UA"/>
        </w:rPr>
        <w:t>τ</w:t>
      </w:r>
      <w:r w:rsidRPr="00961B86">
        <w:rPr>
          <w:vertAlign w:val="subscript"/>
          <w:lang w:val="uk-UA"/>
        </w:rPr>
        <w:t>з.п</w:t>
      </w:r>
      <w:proofErr w:type="spellEnd"/>
      <w:r w:rsidRPr="00961B86">
        <w:rPr>
          <w:vertAlign w:val="subscript"/>
          <w:lang w:val="uk-UA"/>
        </w:rPr>
        <w:t>.</w:t>
      </w:r>
      <w:r w:rsidRPr="00961B86">
        <w:rPr>
          <w:lang w:val="uk-UA"/>
        </w:rPr>
        <w:t xml:space="preserve">, </w:t>
      </w:r>
      <w:proofErr w:type="spellStart"/>
      <w:r w:rsidRPr="00961B86">
        <w:rPr>
          <w:lang w:val="uk-UA"/>
        </w:rPr>
        <w:t>τ</w:t>
      </w:r>
      <w:r w:rsidRPr="00961B86">
        <w:rPr>
          <w:vertAlign w:val="subscript"/>
          <w:lang w:val="uk-UA"/>
        </w:rPr>
        <w:t>з.а</w:t>
      </w:r>
      <w:proofErr w:type="spellEnd"/>
      <w:r w:rsidRPr="00961B86">
        <w:rPr>
          <w:vertAlign w:val="subscript"/>
          <w:lang w:val="uk-UA"/>
        </w:rPr>
        <w:t>.</w:t>
      </w:r>
      <w:r w:rsidRPr="00961B86">
        <w:rPr>
          <w:lang w:val="uk-UA"/>
        </w:rPr>
        <w:t xml:space="preserve"> – час відповідно профілактичної та аварійної заміни інструментів, хв;</w:t>
      </w: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proofErr w:type="spellStart"/>
      <w:r w:rsidRPr="00961B86">
        <w:rPr>
          <w:i/>
          <w:lang w:val="uk-UA"/>
        </w:rPr>
        <w:t>а</w:t>
      </w:r>
      <w:r w:rsidRPr="00961B86">
        <w:rPr>
          <w:i/>
          <w:vertAlign w:val="subscript"/>
          <w:lang w:val="uk-UA"/>
        </w:rPr>
        <w:t>нас</w:t>
      </w:r>
      <w:proofErr w:type="spellEnd"/>
      <w:r w:rsidRPr="00961B86">
        <w:rPr>
          <w:vertAlign w:val="subscript"/>
          <w:lang w:val="uk-UA"/>
        </w:rPr>
        <w:t>.</w:t>
      </w:r>
      <w:r w:rsidRPr="00961B86">
        <w:rPr>
          <w:lang w:val="uk-UA"/>
        </w:rPr>
        <w:t xml:space="preserve"> – вартість однієї хвилини часу заміни </w:t>
      </w:r>
      <w:r w:rsidRPr="00961B86">
        <w:rPr>
          <w:rStyle w:val="alt-edited"/>
          <w:lang w:val="uk-UA"/>
        </w:rPr>
        <w:t>та</w:t>
      </w:r>
      <w:r w:rsidRPr="00961B86">
        <w:rPr>
          <w:lang w:val="uk-UA"/>
        </w:rPr>
        <w:t xml:space="preserve"> настройки інструменту, </w:t>
      </w:r>
      <w:proofErr w:type="spellStart"/>
      <w:r w:rsidRPr="00961B86">
        <w:rPr>
          <w:lang w:val="uk-UA"/>
        </w:rPr>
        <w:t>коп</w:t>
      </w:r>
      <w:proofErr w:type="spellEnd"/>
      <w:r w:rsidRPr="00961B86">
        <w:rPr>
          <w:lang w:val="uk-UA"/>
        </w:rPr>
        <w:t>-хв;</w:t>
      </w: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proofErr w:type="spellStart"/>
      <w:r w:rsidRPr="00961B86">
        <w:rPr>
          <w:i/>
          <w:lang w:val="uk-UA"/>
        </w:rPr>
        <w:t>А</w:t>
      </w:r>
      <w:r w:rsidRPr="00961B86">
        <w:rPr>
          <w:i/>
          <w:vertAlign w:val="subscript"/>
          <w:lang w:val="uk-UA"/>
        </w:rPr>
        <w:t>ін</w:t>
      </w:r>
      <w:proofErr w:type="spellEnd"/>
      <w:r w:rsidRPr="00961B86">
        <w:rPr>
          <w:i/>
          <w:lang w:val="uk-UA"/>
        </w:rPr>
        <w:t xml:space="preserve"> </w:t>
      </w:r>
      <w:r w:rsidRPr="00961B86">
        <w:rPr>
          <w:lang w:val="uk-UA"/>
        </w:rPr>
        <w:t xml:space="preserve">– вартість інструменту, </w:t>
      </w:r>
      <w:proofErr w:type="spellStart"/>
      <w:r w:rsidRPr="00961B86">
        <w:rPr>
          <w:lang w:val="uk-UA"/>
        </w:rPr>
        <w:t>коп</w:t>
      </w:r>
      <w:proofErr w:type="spellEnd"/>
      <w:r w:rsidRPr="00961B86">
        <w:rPr>
          <w:lang w:val="uk-UA"/>
        </w:rPr>
        <w:t>;</w:t>
      </w:r>
    </w:p>
    <w:p w:rsidR="00961B86" w:rsidRDefault="00E666E4" w:rsidP="00E666E4">
      <w:pPr>
        <w:shd w:val="clear" w:color="auto" w:fill="FFFFFF"/>
        <w:ind w:firstLine="0"/>
        <w:rPr>
          <w:lang w:val="uk-UA"/>
        </w:rPr>
      </w:pPr>
      <w:r w:rsidRPr="00961B86">
        <w:rPr>
          <w:i/>
          <w:lang w:val="uk-UA"/>
        </w:rPr>
        <w:t>К</w:t>
      </w:r>
      <w:r w:rsidRPr="00961B86">
        <w:rPr>
          <w:i/>
          <w:vertAlign w:val="subscript"/>
          <w:lang w:val="uk-UA"/>
        </w:rPr>
        <w:t>1</w:t>
      </w:r>
      <w:r w:rsidRPr="00961B86">
        <w:rPr>
          <w:i/>
          <w:lang w:val="uk-UA"/>
        </w:rPr>
        <w:t>, К</w:t>
      </w:r>
      <w:r w:rsidRPr="00961B86">
        <w:rPr>
          <w:i/>
          <w:vertAlign w:val="subscript"/>
          <w:lang w:val="uk-UA"/>
        </w:rPr>
        <w:t>2</w:t>
      </w:r>
      <w:r w:rsidRPr="00961B86">
        <w:rPr>
          <w:lang w:val="uk-UA"/>
        </w:rPr>
        <w:t xml:space="preserve"> – число періодів стійкості інструменту відповідно при його </w:t>
      </w:r>
      <w:r w:rsidRPr="00961B86">
        <w:rPr>
          <w:rStyle w:val="alt-edited"/>
          <w:lang w:val="uk-UA"/>
        </w:rPr>
        <w:t>профілактичній</w:t>
      </w:r>
      <w:r w:rsidRPr="00961B86">
        <w:rPr>
          <w:lang w:val="uk-UA"/>
        </w:rPr>
        <w:t xml:space="preserve"> та </w:t>
      </w:r>
      <w:r w:rsidRPr="00961B86">
        <w:rPr>
          <w:rStyle w:val="alt-edited"/>
          <w:lang w:val="uk-UA"/>
        </w:rPr>
        <w:t>аварійній</w:t>
      </w:r>
      <w:r w:rsidRPr="00961B86">
        <w:rPr>
          <w:lang w:val="uk-UA"/>
        </w:rPr>
        <w:t xml:space="preserve"> заміні: для різців з механічним кріпленням пластин </w:t>
      </w:r>
    </w:p>
    <w:p w:rsidR="00961B86" w:rsidRDefault="00E666E4" w:rsidP="00961B86">
      <w:pPr>
        <w:shd w:val="clear" w:color="auto" w:fill="FFFFFF"/>
        <w:ind w:firstLine="0"/>
        <w:jc w:val="center"/>
        <w:rPr>
          <w:lang w:val="uk-UA"/>
        </w:rPr>
      </w:pPr>
      <w:r w:rsidRPr="00961B86">
        <w:rPr>
          <w:i/>
          <w:lang w:val="uk-UA"/>
        </w:rPr>
        <w:t>К</w:t>
      </w:r>
      <w:r w:rsidRPr="00961B86">
        <w:rPr>
          <w:i/>
          <w:vertAlign w:val="subscript"/>
          <w:lang w:val="uk-UA"/>
        </w:rPr>
        <w:t>1</w:t>
      </w:r>
      <w:r w:rsidRPr="00961B86">
        <w:rPr>
          <w:i/>
          <w:lang w:val="uk-UA"/>
        </w:rPr>
        <w:t>=Z</w:t>
      </w:r>
      <w:r w:rsidRPr="00961B86">
        <w:rPr>
          <w:lang w:val="uk-UA"/>
        </w:rPr>
        <w:t xml:space="preserve">, </w:t>
      </w:r>
      <w:r w:rsidRPr="00961B86">
        <w:rPr>
          <w:i/>
          <w:lang w:val="uk-UA"/>
        </w:rPr>
        <w:t>К</w:t>
      </w:r>
      <w:r w:rsidRPr="00961B86">
        <w:rPr>
          <w:i/>
          <w:vertAlign w:val="subscript"/>
          <w:lang w:val="uk-UA"/>
        </w:rPr>
        <w:t>2</w:t>
      </w:r>
      <w:r w:rsidRPr="00961B86">
        <w:rPr>
          <w:i/>
          <w:lang w:val="uk-UA"/>
        </w:rPr>
        <w:t>=Z(1-q</w:t>
      </w:r>
      <w:r w:rsidRPr="00961B86">
        <w:rPr>
          <w:i/>
          <w:vertAlign w:val="subscript"/>
          <w:lang w:val="uk-UA"/>
        </w:rPr>
        <w:t>р</w:t>
      </w:r>
      <w:r w:rsidRPr="00961B86">
        <w:rPr>
          <w:i/>
          <w:lang w:val="uk-UA"/>
        </w:rPr>
        <w:t>)</w:t>
      </w:r>
      <w:r w:rsidRPr="00961B86">
        <w:rPr>
          <w:lang w:val="uk-UA"/>
        </w:rPr>
        <w:t>,</w:t>
      </w:r>
    </w:p>
    <w:p w:rsidR="00E666E4" w:rsidRPr="00961B86" w:rsidRDefault="00E666E4" w:rsidP="00E666E4">
      <w:pPr>
        <w:shd w:val="clear" w:color="auto" w:fill="FFFFFF"/>
        <w:ind w:firstLine="0"/>
        <w:rPr>
          <w:lang w:val="uk-UA"/>
        </w:rPr>
      </w:pPr>
      <w:r w:rsidRPr="00961B86">
        <w:rPr>
          <w:lang w:val="uk-UA"/>
        </w:rPr>
        <w:t xml:space="preserve">де </w:t>
      </w:r>
      <w:r w:rsidRPr="00961B86">
        <w:rPr>
          <w:i/>
          <w:lang w:val="uk-UA"/>
        </w:rPr>
        <w:t>Z</w:t>
      </w:r>
      <w:r w:rsidRPr="00961B86">
        <w:rPr>
          <w:lang w:val="uk-UA"/>
        </w:rPr>
        <w:t xml:space="preserve"> - кількість граней пластини, </w:t>
      </w:r>
      <w:proofErr w:type="spellStart"/>
      <w:r w:rsidRPr="00961B86">
        <w:rPr>
          <w:i/>
          <w:lang w:val="uk-UA"/>
        </w:rPr>
        <w:t>q</w:t>
      </w:r>
      <w:r w:rsidRPr="00961B86">
        <w:rPr>
          <w:i/>
          <w:vertAlign w:val="subscript"/>
          <w:lang w:val="uk-UA"/>
        </w:rPr>
        <w:t>р</w:t>
      </w:r>
      <w:proofErr w:type="spellEnd"/>
      <w:r w:rsidRPr="00961B86">
        <w:rPr>
          <w:i/>
          <w:lang w:val="uk-UA"/>
        </w:rPr>
        <w:t xml:space="preserve"> – </w:t>
      </w:r>
      <w:r w:rsidRPr="00961B86">
        <w:rPr>
          <w:lang w:val="uk-UA"/>
        </w:rPr>
        <w:t>ймовірність руйнувань граней пластини Р, пов'язаних з подачею;</w:t>
      </w:r>
    </w:p>
    <w:p w:rsidR="00E666E4" w:rsidRDefault="00E666E4" w:rsidP="00E666E4">
      <w:pPr>
        <w:ind w:firstLine="0"/>
        <w:rPr>
          <w:lang w:val="uk-UA"/>
        </w:rPr>
      </w:pPr>
      <w:r w:rsidRPr="00961B86">
        <w:rPr>
          <w:lang w:val="uk-UA"/>
        </w:rPr>
        <w:t xml:space="preserve">ω – коефіцієнт, що враховує зменшення </w:t>
      </w:r>
      <w:proofErr w:type="spellStart"/>
      <w:r w:rsidRPr="00961B86">
        <w:rPr>
          <w:lang w:val="uk-UA"/>
        </w:rPr>
        <w:t>Тγ</w:t>
      </w:r>
      <w:proofErr w:type="spellEnd"/>
      <w:r w:rsidRPr="00961B86">
        <w:rPr>
          <w:lang w:val="uk-UA"/>
        </w:rPr>
        <w:t xml:space="preserve"> при аварійній заміні інструменту (ймовірність аварійного відмови):</w:t>
      </w:r>
    </w:p>
    <w:p w:rsidR="00E666E4" w:rsidRPr="00961B86" w:rsidRDefault="00E666E4" w:rsidP="00E666E4">
      <w:pPr>
        <w:ind w:firstLine="0"/>
        <w:jc w:val="center"/>
        <w:rPr>
          <w:rStyle w:val="shorttext"/>
          <w:lang w:val="uk-UA"/>
        </w:rPr>
      </w:pPr>
      <w:r w:rsidRPr="00961B86">
        <w:rPr>
          <w:position w:val="-26"/>
          <w:lang w:val="uk-UA"/>
        </w:rPr>
        <w:object w:dxaOrig="4520" w:dyaOrig="660">
          <v:shape id="_x0000_i1026" type="#_x0000_t75" style="width:206.4pt;height:30pt" o:ole="" fillcolor="window">
            <v:imagedata r:id="rId12" o:title=""/>
          </v:shape>
          <o:OLEObject Type="Embed" ProgID="Equation.3" ShapeID="_x0000_i1026" DrawAspect="Content" ObjectID="_1775418411" r:id="rId13"/>
        </w:object>
      </w:r>
      <w:r w:rsidRPr="00961B86">
        <w:rPr>
          <w:lang w:val="uk-UA"/>
        </w:rPr>
        <w:t>.</w:t>
      </w:r>
    </w:p>
    <w:p w:rsidR="00E666E4" w:rsidRPr="00961B86" w:rsidRDefault="00E666E4" w:rsidP="00E666E4">
      <w:pPr>
        <w:rPr>
          <w:position w:val="-34"/>
          <w:lang w:val="uk-UA"/>
        </w:rPr>
      </w:pPr>
      <w:r w:rsidRPr="00961B86">
        <w:rPr>
          <w:lang w:val="uk-UA"/>
        </w:rPr>
        <w:t xml:space="preserve">Період стійкості, що відповідає певному рівню надійності інструменту </w:t>
      </w:r>
      <w:r w:rsidRPr="00961B86">
        <w:rPr>
          <w:rFonts w:ascii="Cambria Math" w:hAnsi="Cambria Math"/>
          <w:lang w:val="uk-UA"/>
        </w:rPr>
        <w:t>𝛾</w:t>
      </w:r>
      <w:r w:rsidRPr="00961B86">
        <w:rPr>
          <w:lang w:val="uk-UA"/>
        </w:rPr>
        <w:t xml:space="preserve"> (гамма відсотку):</w:t>
      </w:r>
    </w:p>
    <w:p w:rsidR="00E666E4" w:rsidRPr="00961B86" w:rsidRDefault="00E666E4" w:rsidP="00E666E4">
      <w:pPr>
        <w:ind w:firstLine="0"/>
        <w:jc w:val="center"/>
        <w:rPr>
          <w:lang w:val="uk-UA"/>
        </w:rPr>
      </w:pPr>
      <w:r w:rsidRPr="00961B86">
        <w:rPr>
          <w:position w:val="-24"/>
          <w:lang w:val="uk-UA"/>
        </w:rPr>
        <w:object w:dxaOrig="2100" w:dyaOrig="639">
          <v:shape id="_x0000_i1027" type="#_x0000_t75" style="width:94.2pt;height:29.4pt" o:ole="" fillcolor="window">
            <v:imagedata r:id="rId14" o:title=""/>
          </v:shape>
          <o:OLEObject Type="Embed" ProgID="Equation.3" ShapeID="_x0000_i1027" DrawAspect="Content" ObjectID="_1775418412" r:id="rId15"/>
        </w:object>
      </w:r>
      <w:r w:rsidRPr="00961B86">
        <w:rPr>
          <w:lang w:val="uk-UA"/>
        </w:rPr>
        <w:t>,</w:t>
      </w:r>
    </w:p>
    <w:p w:rsidR="00E666E4" w:rsidRPr="00961B86" w:rsidRDefault="00E666E4" w:rsidP="00E666E4">
      <w:pPr>
        <w:ind w:firstLine="0"/>
        <w:rPr>
          <w:lang w:val="uk-UA"/>
        </w:rPr>
      </w:pPr>
      <w:r w:rsidRPr="00961B86">
        <w:rPr>
          <w:lang w:val="uk-UA"/>
        </w:rPr>
        <w:t xml:space="preserve">де </w:t>
      </w:r>
      <w:r w:rsidRPr="00961B86">
        <w:rPr>
          <w:lang w:val="uk-UA"/>
        </w:rPr>
        <w:sym w:font="Symbol" w:char="F068"/>
      </w:r>
      <w:r w:rsidRPr="00961B86">
        <w:rPr>
          <w:lang w:val="uk-UA"/>
        </w:rPr>
        <w:t xml:space="preserve"> – поправочний коефіцієнт на період стійкості РІ, що враховує рівень надійності:</w:t>
      </w:r>
    </w:p>
    <w:p w:rsidR="00E666E4" w:rsidRPr="00961B86" w:rsidRDefault="00E666E4" w:rsidP="00E666E4">
      <w:pPr>
        <w:ind w:firstLine="0"/>
        <w:jc w:val="center"/>
        <w:rPr>
          <w:position w:val="-34"/>
          <w:lang w:val="uk-UA"/>
        </w:rPr>
      </w:pPr>
      <w:r w:rsidRPr="00961B86">
        <w:rPr>
          <w:position w:val="-26"/>
          <w:lang w:val="uk-UA"/>
        </w:rPr>
        <w:object w:dxaOrig="1300" w:dyaOrig="900">
          <v:shape id="_x0000_i1028" type="#_x0000_t75" style="width:65.4pt;height:45pt" o:ole="" fillcolor="window">
            <v:imagedata r:id="rId16" o:title=""/>
          </v:shape>
          <o:OLEObject Type="Embed" ProgID="Equation.3" ShapeID="_x0000_i1028" DrawAspect="Content" ObjectID="_1775418413" r:id="rId17"/>
        </w:object>
      </w:r>
      <w:r w:rsidRPr="00961B86">
        <w:rPr>
          <w:lang w:val="uk-UA"/>
        </w:rPr>
        <w:t>.</w:t>
      </w:r>
    </w:p>
    <w:p w:rsidR="00703A45" w:rsidRPr="00961B86" w:rsidRDefault="00703A45" w:rsidP="00703A45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 w:rsidRPr="00961B86">
        <w:rPr>
          <w:lang w:val="uk-UA"/>
        </w:rPr>
        <w:t>Список посилань</w:t>
      </w:r>
    </w:p>
    <w:p w:rsidR="00606587" w:rsidRPr="00961B86" w:rsidRDefault="00961B86" w:rsidP="00100734">
      <w:pPr>
        <w:pStyle w:val="referenceitem"/>
        <w:numPr>
          <w:ilvl w:val="0"/>
          <w:numId w:val="10"/>
        </w:numPr>
        <w:ind w:left="0" w:firstLine="284"/>
        <w:rPr>
          <w:szCs w:val="18"/>
          <w:lang w:val="uk-UA"/>
        </w:rPr>
      </w:pPr>
      <w:r>
        <w:rPr>
          <w:szCs w:val="18"/>
          <w:lang w:val="uk-UA"/>
        </w:rPr>
        <w:t xml:space="preserve">Клименко Г. П., Васильченко Я. В., </w:t>
      </w:r>
      <w:proofErr w:type="spellStart"/>
      <w:r>
        <w:rPr>
          <w:szCs w:val="18"/>
          <w:lang w:val="uk-UA"/>
        </w:rPr>
        <w:t>Шаповалов</w:t>
      </w:r>
      <w:proofErr w:type="spellEnd"/>
      <w:r>
        <w:rPr>
          <w:szCs w:val="18"/>
          <w:lang w:val="uk-UA"/>
        </w:rPr>
        <w:t xml:space="preserve"> М. </w:t>
      </w:r>
      <w:r w:rsidR="00100734" w:rsidRPr="00961B86">
        <w:rPr>
          <w:szCs w:val="18"/>
          <w:lang w:val="uk-UA"/>
        </w:rPr>
        <w:t xml:space="preserve">В. Якість та надійність технологічних систем: навчальний посібник </w:t>
      </w:r>
      <w:r w:rsidR="00100734" w:rsidRPr="00961B86">
        <w:rPr>
          <w:noProof/>
          <w:szCs w:val="18"/>
          <w:lang w:val="uk-UA"/>
        </w:rPr>
        <w:t>для студентів технічних спеціальностей</w:t>
      </w:r>
      <w:r w:rsidR="00100734" w:rsidRPr="00961B86">
        <w:rPr>
          <w:szCs w:val="18"/>
          <w:lang w:val="uk-UA"/>
        </w:rPr>
        <w:t>. Краматорськ : ДДМА, 2018. 199 с.</w:t>
      </w:r>
    </w:p>
    <w:sectPr w:rsidR="00606587" w:rsidRPr="00961B86" w:rsidSect="000D3B20">
      <w:pgSz w:w="8392" w:h="11907" w:code="11"/>
      <w:pgMar w:top="851" w:right="851" w:bottom="851" w:left="851" w:header="2381" w:footer="2325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75" w:rsidRDefault="00253875">
      <w:r>
        <w:separator/>
      </w:r>
    </w:p>
  </w:endnote>
  <w:endnote w:type="continuationSeparator" w:id="0">
    <w:p w:rsidR="00253875" w:rsidRDefault="0025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75" w:rsidRDefault="00253875" w:rsidP="009F7FCE">
      <w:pPr>
        <w:ind w:firstLine="0"/>
      </w:pPr>
      <w:r>
        <w:separator/>
      </w:r>
    </w:p>
  </w:footnote>
  <w:footnote w:type="continuationSeparator" w:id="0">
    <w:p w:rsidR="00253875" w:rsidRDefault="00253875" w:rsidP="009F7FCE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C27"/>
    <w:multiLevelType w:val="hybridMultilevel"/>
    <w:tmpl w:val="96720094"/>
    <w:lvl w:ilvl="0" w:tplc="83245B5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55730"/>
    <w:rsid w:val="00081BEC"/>
    <w:rsid w:val="000A7143"/>
    <w:rsid w:val="000D3B20"/>
    <w:rsid w:val="000E4847"/>
    <w:rsid w:val="00100734"/>
    <w:rsid w:val="001A02F0"/>
    <w:rsid w:val="00253875"/>
    <w:rsid w:val="00281F92"/>
    <w:rsid w:val="002D48C5"/>
    <w:rsid w:val="002E472C"/>
    <w:rsid w:val="003C1EA7"/>
    <w:rsid w:val="003C7C0A"/>
    <w:rsid w:val="005B6BEC"/>
    <w:rsid w:val="00657058"/>
    <w:rsid w:val="00703A45"/>
    <w:rsid w:val="00801487"/>
    <w:rsid w:val="008248F4"/>
    <w:rsid w:val="00891041"/>
    <w:rsid w:val="008F2D4C"/>
    <w:rsid w:val="009155DD"/>
    <w:rsid w:val="00961B86"/>
    <w:rsid w:val="009930E4"/>
    <w:rsid w:val="009B2539"/>
    <w:rsid w:val="009F7FCE"/>
    <w:rsid w:val="00A53A92"/>
    <w:rsid w:val="00A65D0A"/>
    <w:rsid w:val="00A82D9E"/>
    <w:rsid w:val="00B23481"/>
    <w:rsid w:val="00B76D15"/>
    <w:rsid w:val="00C46D10"/>
    <w:rsid w:val="00C765E7"/>
    <w:rsid w:val="00D10545"/>
    <w:rsid w:val="00DB68A8"/>
    <w:rsid w:val="00DB6EEF"/>
    <w:rsid w:val="00DC2CA9"/>
    <w:rsid w:val="00E603C7"/>
    <w:rsid w:val="00E666E4"/>
    <w:rsid w:val="00EB2211"/>
    <w:rsid w:val="00F321B4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20D37FB"/>
  <w15:docId w15:val="{1CF03C60-31FB-44E3-ADC3-12526A9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shorttext">
    <w:name w:val="short_text"/>
    <w:basedOn w:val="a0"/>
    <w:rsid w:val="003C1EA7"/>
  </w:style>
  <w:style w:type="character" w:customStyle="1" w:styleId="alt-edited">
    <w:name w:val="alt-edited"/>
    <w:basedOn w:val="a0"/>
    <w:rsid w:val="003C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silchenko.ua@gmail.com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510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Richter</dc:creator>
  <dc:description>Formats and macros for Springer Lecture Notes</dc:description>
  <cp:lastModifiedBy>user</cp:lastModifiedBy>
  <cp:revision>8</cp:revision>
  <dcterms:created xsi:type="dcterms:W3CDTF">2024-04-23T06:30:00Z</dcterms:created>
  <dcterms:modified xsi:type="dcterms:W3CDTF">2024-04-23T20:00:00Z</dcterms:modified>
</cp:coreProperties>
</file>