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95" w:rsidRPr="00220480" w:rsidRDefault="003F1AE1" w:rsidP="00E315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C70">
        <w:rPr>
          <w:rFonts w:ascii="Times New Roman" w:hAnsi="Times New Roman" w:cs="Times New Roman"/>
          <w:sz w:val="24"/>
          <w:szCs w:val="24"/>
          <w:lang w:val="uk-UA"/>
        </w:rPr>
        <w:t>УДК</w:t>
      </w:r>
      <w:r w:rsidR="00E31546" w:rsidRPr="00630C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61F6" w:rsidRPr="00630C70">
        <w:rPr>
          <w:rFonts w:ascii="Times New Roman" w:hAnsi="Times New Roman" w:cs="Times New Roman"/>
          <w:sz w:val="24"/>
          <w:szCs w:val="24"/>
        </w:rPr>
        <w:t>351.72</w:t>
      </w:r>
    </w:p>
    <w:p w:rsidR="003F1AE1" w:rsidRPr="007964B4" w:rsidRDefault="00E94B4F" w:rsidP="00E31546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B4F">
        <w:rPr>
          <w:rFonts w:ascii="Times New Roman" w:hAnsi="Times New Roman" w:cs="Times New Roman"/>
          <w:b/>
          <w:sz w:val="24"/>
          <w:szCs w:val="24"/>
        </w:rPr>
        <w:t>Митрощенко</w:t>
      </w:r>
      <w:proofErr w:type="spellEnd"/>
      <w:r w:rsidRPr="00E94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B4F">
        <w:rPr>
          <w:rFonts w:ascii="Times New Roman" w:hAnsi="Times New Roman" w:cs="Times New Roman"/>
          <w:b/>
          <w:sz w:val="24"/>
          <w:szCs w:val="24"/>
        </w:rPr>
        <w:t>Віталій</w:t>
      </w:r>
      <w:proofErr w:type="spellEnd"/>
      <w:r w:rsidRPr="00E94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B4F">
        <w:rPr>
          <w:rFonts w:ascii="Times New Roman" w:hAnsi="Times New Roman" w:cs="Times New Roman"/>
          <w:b/>
          <w:sz w:val="24"/>
          <w:szCs w:val="24"/>
          <w:lang w:val="uk-UA"/>
        </w:rPr>
        <w:t>Сергійович</w:t>
      </w:r>
      <w:r w:rsidR="00B37A0D">
        <w:rPr>
          <w:rFonts w:ascii="Times New Roman" w:hAnsi="Times New Roman" w:cs="Times New Roman"/>
          <w:b/>
          <w:sz w:val="24"/>
          <w:szCs w:val="24"/>
        </w:rPr>
        <w:t>,</w:t>
      </w:r>
    </w:p>
    <w:p w:rsidR="00E94B4F" w:rsidRDefault="007964B4" w:rsidP="00312F0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64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аспірант кафедри економіки та </w:t>
      </w:r>
    </w:p>
    <w:p w:rsidR="007964B4" w:rsidRPr="007964B4" w:rsidRDefault="007964B4" w:rsidP="00312F0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64B4">
        <w:rPr>
          <w:rFonts w:ascii="Times New Roman" w:hAnsi="Times New Roman" w:cs="Times New Roman"/>
          <w:b/>
          <w:sz w:val="24"/>
          <w:szCs w:val="24"/>
          <w:lang w:val="uk-UA"/>
        </w:rPr>
        <w:t>міжнародних економічних відносин</w:t>
      </w:r>
    </w:p>
    <w:p w:rsidR="007964B4" w:rsidRPr="007964B4" w:rsidRDefault="007964B4" w:rsidP="00E31546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64B4">
        <w:rPr>
          <w:rFonts w:ascii="Times New Roman" w:hAnsi="Times New Roman" w:cs="Times New Roman"/>
          <w:b/>
          <w:sz w:val="24"/>
          <w:szCs w:val="24"/>
          <w:lang w:val="uk-UA"/>
        </w:rPr>
        <w:t>Маріупольський державний університет</w:t>
      </w:r>
    </w:p>
    <w:p w:rsidR="007964B4" w:rsidRPr="00E94B4F" w:rsidRDefault="00E94B4F" w:rsidP="00E3154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E94B4F">
        <w:rPr>
          <w:rFonts w:ascii="Times New Roman" w:hAnsi="Times New Roman" w:cs="Times New Roman"/>
          <w:sz w:val="24"/>
          <w:szCs w:val="24"/>
        </w:rPr>
        <w:t>vitalii.mytroshchenko@mdu.in.ua</w:t>
      </w:r>
      <w:bookmarkEnd w:id="0"/>
    </w:p>
    <w:p w:rsidR="007964B4" w:rsidRDefault="007964B4" w:rsidP="00E3154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1AE1" w:rsidRPr="004062E7" w:rsidRDefault="00A41B8B" w:rsidP="00E315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52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ВПЛИВ ПОВНОМАСШТАБНОЇ ВІЙНИ НА </w:t>
      </w:r>
      <w:r w:rsidR="00DC5282" w:rsidRPr="00DC52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СКЛАДОВІ </w:t>
      </w:r>
      <w:r w:rsidRPr="00DC5282">
        <w:rPr>
          <w:rFonts w:ascii="Times New Roman" w:hAnsi="Times New Roman" w:cs="Times New Roman"/>
          <w:b/>
          <w:sz w:val="24"/>
          <w:szCs w:val="24"/>
          <w:lang w:val="uk-UA"/>
        </w:rPr>
        <w:t>ФІНАНСОВ</w:t>
      </w:r>
      <w:r w:rsidR="00DC5282" w:rsidRPr="00DC5282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Pr="00DC52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БЕЗПЕК</w:t>
      </w:r>
      <w:r w:rsidR="00DC5282" w:rsidRPr="00DC52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</w:t>
      </w:r>
      <w:r w:rsidRPr="00DC5282">
        <w:rPr>
          <w:rFonts w:ascii="Times New Roman" w:hAnsi="Times New Roman" w:cs="Times New Roman"/>
          <w:b/>
          <w:sz w:val="24"/>
          <w:szCs w:val="24"/>
          <w:lang w:val="uk-UA"/>
        </w:rPr>
        <w:t>УКРАЇНИ</w:t>
      </w:r>
      <w:r w:rsidRPr="004062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1700B" w:rsidRPr="00F1700B" w:rsidRDefault="00F1700B" w:rsidP="000032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41FBE" w:rsidRPr="00C41FBE" w:rsidRDefault="00546A57" w:rsidP="00C41FBE">
      <w:pPr>
        <w:shd w:val="clear" w:color="auto" w:fill="FFFFFF"/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46A5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Фінансова безпека виступає невід’ємною складовою економічної безпеки держави.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Середовище формування національної фінансової безпеки в останні десятиліття характеризується значною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волатильністю</w:t>
      </w:r>
      <w:proofErr w:type="spellEnd"/>
      <w:r w:rsidR="00C41F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що обумовлено дією чинників внутрішнього та зовнішнього характеру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C41F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одного боку, </w:t>
      </w:r>
      <w:r w:rsidR="00C41FBE" w:rsidRPr="009838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середовище національних фінансів</w:t>
      </w:r>
      <w:r w:rsidR="00C41F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відчуває усе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більши</w:t>
      </w:r>
      <w:r w:rsidR="00C41F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вплив </w:t>
      </w:r>
      <w:r w:rsidRPr="009838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глобальних фінансових трансформацій – чинників 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закономірностей розвитку фінансових відносин, які </w:t>
      </w:r>
      <w:r w:rsidR="009838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викликають не тільки кількісні, але й якісні зрушення та перетворення у світовому фінансовому просторі 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часто </w:t>
      </w:r>
      <w:r w:rsidR="009838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створюють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виклики</w:t>
      </w:r>
      <w:r w:rsidR="009838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національних фінансових систем та економічної безпеки держав загалом.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838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Серед </w:t>
      </w:r>
      <w:r w:rsidR="00C41F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головних таких трендів – підвищення рівня фінансової глибини глобальної та національних економік, світові фінансові кризи, цифрові трансформації фінансових відносин, фінансові інновації, загострення проблем внутрішньої та зовнішньої заборгованості країн, зростання нерівномірності розподілу фінансових ресурсів у світі, </w:t>
      </w:r>
      <w:proofErr w:type="spellStart"/>
      <w:r w:rsidR="00C41F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волатильність</w:t>
      </w:r>
      <w:proofErr w:type="spellEnd"/>
      <w:r w:rsidR="00C41F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обмінних курсів, зростання масштабів нелегальної міграції капіталу тощо </w:t>
      </w:r>
      <w:r w:rsidR="00C41FBE" w:rsidRPr="00C41F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[</w:t>
      </w:r>
      <w:r w:rsid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</w:t>
      </w:r>
      <w:r w:rsidR="00C41FBE" w:rsidRPr="00C41F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].</w:t>
      </w:r>
    </w:p>
    <w:p w:rsidR="00286700" w:rsidRDefault="00C41FBE" w:rsidP="00286700">
      <w:pPr>
        <w:shd w:val="clear" w:color="auto" w:fill="FFFFFF"/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іншого боку, додатковим викликом для національної безпеки України і, зокрема, її фінансової складової стала повномасштабна збройна агресія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рф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7D13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Війна загострила ризики для усієї системи фінансової безпеки держави, маючи наслідки для усіх її складових. </w:t>
      </w:r>
      <w:r w:rsidR="00286700" w:rsidRPr="00546A5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Відповідно до Методичних рекомендацій щодо розрахунку рівня економічної безпеки України, фінансова безпека включає наступні компоненти: банківська, безпека небанківського фінансового сектору, боргова, бюджетна, валютна, грошово-кредитна [</w:t>
      </w:r>
      <w:r w:rsid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r w:rsidR="00286700" w:rsidRPr="00546A5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].</w:t>
      </w:r>
    </w:p>
    <w:p w:rsidR="007D13B2" w:rsidRDefault="007D13B2" w:rsidP="00286700">
      <w:pPr>
        <w:shd w:val="clear" w:color="auto" w:fill="FFFFFF"/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Банківська та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парабанківська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системи, за оцінками експертів, відносно швидко пристосувалися до роботи в умовах воєнного стану. З іншого боку, слабким напрямом роботи банків є їх діяльність з кредитування бізнесу через підвищення фінансових ризиків та відсоткових ставок, що обмежує можливості економічного зростання </w:t>
      </w:r>
      <w:r w:rsidRPr="007D13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</w:t>
      </w:r>
      <w:r w:rsidRPr="007D13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].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 даними НБУ, обсяг кредитів, наданих депозитними корпораціями резидентам України, зменшився з </w:t>
      </w:r>
      <w:r w:rsidR="00062E81" w:rsidRP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1053276 млн грн станом на жовтень 2022 р. до 979362 млн грн у жовтні 2023 р. [2].</w:t>
      </w:r>
    </w:p>
    <w:p w:rsidR="00EE4A49" w:rsidRPr="00EE4A49" w:rsidRDefault="00553FAF" w:rsidP="00EE4A49">
      <w:pPr>
        <w:shd w:val="clear" w:color="auto" w:fill="FFFFFF"/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Одним з найбільш чутливих до війни компонентів фінансової безпеки є боргова безпека. </w:t>
      </w:r>
      <w:r w:rsidR="004B52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Значну частину фінансових ресурсів від іноземних партнерів Україна отримує у вигляді допомоги на безповоротних умовах. Разом із тим,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зростання попиту на фінансові ресурси для забезпечення воєнних потреб </w:t>
      </w:r>
      <w:r w:rsidR="00EE4A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умовах обмеженості бюджетних коштів викликає посилення активності держави як позичальника. </w:t>
      </w:r>
      <w:r w:rsid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Валовий зовнішній борг України зріс з </w:t>
      </w:r>
      <w:r w:rsidR="00062E81" w:rsidRP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129713</w:t>
      </w:r>
      <w:r w:rsid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 млн </w:t>
      </w:r>
      <w:proofErr w:type="spellStart"/>
      <w:r w:rsid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дол</w:t>
      </w:r>
      <w:proofErr w:type="spellEnd"/>
      <w:r w:rsid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у 2021 р. до </w:t>
      </w:r>
      <w:r w:rsidR="00062E81" w:rsidRP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130958 </w:t>
      </w:r>
      <w:r w:rsid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млн </w:t>
      </w:r>
      <w:proofErr w:type="spellStart"/>
      <w:r w:rsid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дол</w:t>
      </w:r>
      <w:proofErr w:type="spellEnd"/>
      <w:r w:rsid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202</w:t>
      </w:r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р.</w:t>
      </w:r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 </w:t>
      </w:r>
      <w:r w:rsidR="00BF639C" w:rsidRP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148578</w:t>
      </w:r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млн </w:t>
      </w:r>
      <w:proofErr w:type="spellStart"/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дол</w:t>
      </w:r>
      <w:proofErr w:type="spellEnd"/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7117D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 підсумками І </w:t>
      </w:r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півріччя 2023 р. </w:t>
      </w:r>
      <w:r w:rsidR="00BF639C" w:rsidRP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[2].</w:t>
      </w:r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Одночасно</w:t>
      </w:r>
      <w:r w:rsidR="00EE4A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відбувається певна переорієнтація </w:t>
      </w:r>
      <w:r w:rsidR="00EE4A49" w:rsidRPr="00EE4A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держави із зовнішніх </w:t>
      </w:r>
      <w:r w:rsidR="007117D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</w:t>
      </w:r>
      <w:r w:rsidR="00EE4A49" w:rsidRPr="00EE4A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 внутрішні запозичення, зокрема, за рахунок відкриття </w:t>
      </w:r>
      <w:r w:rsidR="00EE4A49" w:rsidRPr="00EE4A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аукціонів з розміщення військових ОВДП. Протягом січня-липня 2023 р. від розміщення ОВДП на аукціонах Уряд залучив </w:t>
      </w:r>
      <w:r w:rsidR="007117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227,4 </w:t>
      </w:r>
      <w:r w:rsidR="00EE4A49" w:rsidRPr="00EE4A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млрд грн., 2,19 млрд </w:t>
      </w:r>
      <w:proofErr w:type="spellStart"/>
      <w:r w:rsidR="00EE4A49" w:rsidRPr="00EE4A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дол</w:t>
      </w:r>
      <w:proofErr w:type="spellEnd"/>
      <w:r w:rsidR="00EE4A49" w:rsidRPr="00EE4A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. США та 640,9 млн. євро </w:t>
      </w:r>
      <w:r w:rsidR="00EE4A49" w:rsidRPr="00EE4A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[1]</w:t>
      </w:r>
      <w:r w:rsidR="00EE4A49" w:rsidRPr="00EE4A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6E1CF0" w:rsidRDefault="009B66A9" w:rsidP="00553FAF">
      <w:pPr>
        <w:shd w:val="clear" w:color="auto" w:fill="FFFFFF"/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 xml:space="preserve">Повномасштабна війна поставила перед </w:t>
      </w:r>
      <w:r w:rsidR="006E1CF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Україною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нові умови формування державного та місцевих бюджетів, впливаючи як на обсяги дохідної та видаткової частин, так і на структуру доходів та видатків</w:t>
      </w:r>
      <w:r w:rsidR="006E1CF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а також суттєво погіршила можливості держави забезпечувати їх збалансування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6E1CF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57E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Дефіцит державного бюджету зріс з 3,4% ВВП у 2021 р. до 17,6% ВВП у 2022 р., перевищивши 911 млрд грн.</w:t>
      </w:r>
      <w:r w:rsidR="002E25F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а станом на жовтень 2023 р. дорівнював 902,7 млрд грн. НБУ прогнозує збільшення дефіциту державного бюджету за підсумками 2023 року до 26% ВВП </w:t>
      </w:r>
      <w:r w:rsidR="002E25F8" w:rsidRP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[2]</w:t>
      </w:r>
      <w:r w:rsidR="002E25F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При цьому основними джерелами фінансування бюджетного дефіциту залишаються кошти міжнародної фінансової допомоги і внутрішні запозичення.</w:t>
      </w:r>
    </w:p>
    <w:p w:rsidR="006E1CF0" w:rsidRDefault="006E1CF0" w:rsidP="00E57E2B">
      <w:pPr>
        <w:shd w:val="clear" w:color="auto" w:fill="FFFFFF"/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Вплив війни на валютну безпеку виявися достатньо неоднозначним. З одного боку, </w:t>
      </w:r>
      <w:r w:rsidR="00E57E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середній офіційний курс гривні до долара впав з 27,29 грн/</w:t>
      </w:r>
      <w:proofErr w:type="spellStart"/>
      <w:r w:rsidR="00E57E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дол</w:t>
      </w:r>
      <w:proofErr w:type="spellEnd"/>
      <w:r w:rsidR="00E57E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у 2021 р. до 32,34 грн/</w:t>
      </w:r>
      <w:proofErr w:type="spellStart"/>
      <w:r w:rsidR="00E57E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дол</w:t>
      </w:r>
      <w:proofErr w:type="spellEnd"/>
      <w:r w:rsidR="00E57E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у 2022 р. і 36,52 грн/</w:t>
      </w:r>
      <w:proofErr w:type="spellStart"/>
      <w:r w:rsidR="00E57E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дол</w:t>
      </w:r>
      <w:proofErr w:type="spellEnd"/>
      <w:r w:rsidR="00E57E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за підсумками січня-жовтня 2023 р. </w:t>
      </w:r>
      <w:r w:rsidR="00E57E2B" w:rsidRP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[2]</w:t>
      </w:r>
      <w:r w:rsidR="00E57E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іншого боку, стабільне надходження коштів від міжнародних партнерів дозволяє не тільки підтримувати, але й нарощувати міжнародні резерви</w:t>
      </w:r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Обсяг міжнародних резервів, зменшившись з 30941 млн </w:t>
      </w:r>
      <w:proofErr w:type="spellStart"/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дол</w:t>
      </w:r>
      <w:proofErr w:type="spellEnd"/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на кінець 2021 р. до </w:t>
      </w:r>
      <w:r w:rsidR="00BF639C" w:rsidRP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28494</w:t>
      </w:r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млн </w:t>
      </w:r>
      <w:proofErr w:type="spellStart"/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дол</w:t>
      </w:r>
      <w:proofErr w:type="spellEnd"/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у 2022 р., станом на жовтень 2023 р. збільшився до </w:t>
      </w:r>
      <w:r w:rsidR="00BF639C" w:rsidRP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38987</w:t>
      </w:r>
      <w:r w:rsidR="00E57E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млн </w:t>
      </w:r>
      <w:proofErr w:type="spellStart"/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дол</w:t>
      </w:r>
      <w:proofErr w:type="spellEnd"/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BF639C" w:rsidRP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[2]</w:t>
      </w:r>
      <w:r w:rsidR="00BF639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Це дає можливість забезпечувати певну стабілізацію обмінного курсу гривні: е</w:t>
      </w:r>
      <w:r w:rsidR="00DC52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ксперти очікують, що до кінця 2023 року курс гривні не буде перевищувати 39,0-39,5 грн/</w:t>
      </w:r>
      <w:proofErr w:type="spellStart"/>
      <w:r w:rsidR="00DC52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дол</w:t>
      </w:r>
      <w:proofErr w:type="spellEnd"/>
      <w:r w:rsidR="00DC52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6E1CF0" w:rsidRDefault="006E1CF0" w:rsidP="00286700">
      <w:pPr>
        <w:shd w:val="clear" w:color="auto" w:fill="FFFFFF"/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Аналогічні тенденції спостерігаються у сфері формування грошово-кредитної безпеки</w:t>
      </w:r>
      <w:r w:rsidR="004B52B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DC52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Протягом 2022 р. НБУ змушений був вдатися до додаткової емісії у обсязі 400 млрд. грн для фінансування бюджету, що призвело до підвищення темпів інфляції до 26,6%. За підсумками 2023 року очікується інфляція на рівні не більше 11%. </w:t>
      </w:r>
    </w:p>
    <w:p w:rsidR="004B52B2" w:rsidRPr="00CC1562" w:rsidRDefault="0098385F" w:rsidP="004B52B2">
      <w:pPr>
        <w:shd w:val="clear" w:color="auto" w:fill="FFFFFF"/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C52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Відтак, фінансова безпека України сьогодні </w:t>
      </w:r>
      <w:r w:rsidR="00C41FBE" w:rsidRPr="00DC52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відчуває подвійне навантаження, </w:t>
      </w:r>
      <w:r w:rsidRPr="00DC52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знаход</w:t>
      </w:r>
      <w:r w:rsidR="00C41FBE" w:rsidRPr="00DC52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ячись </w:t>
      </w:r>
      <w:r w:rsidRPr="00DC52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під </w:t>
      </w:r>
      <w:r w:rsidR="00C41FBE" w:rsidRPr="00DC52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впливом глобальних трансформацій і </w:t>
      </w:r>
      <w:r w:rsidR="00DC5282" w:rsidRPr="00DC528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викликів воєнного </w:t>
      </w:r>
      <w:r w:rsidR="00DC528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стану</w:t>
      </w:r>
      <w:r w:rsid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що ще більше ускладнює процес управління безпекою</w:t>
      </w:r>
      <w:r w:rsidR="00DC528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При цьому вплив</w:t>
      </w:r>
      <w:r w:rsidR="004B52B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повномасштабної війни на фінансову безпеку </w:t>
      </w:r>
      <w:r w:rsidR="00DC528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характеризується наступними рисами:</w:t>
      </w:r>
      <w:r w:rsidR="00CC156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C528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системність (</w:t>
      </w:r>
      <w:r w:rsidR="004B52B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воєнний стан у країні провокує системний вплив на фінансову безпеку держави, оскільки поширюється на всі її складові</w:t>
      </w:r>
      <w:r w:rsidR="00DC528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="004B52B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  <w:r w:rsidR="00CC156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C528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диференційованість </w:t>
      </w:r>
      <w:r w:rsidR="00CC156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(війна має відмінні за </w:t>
      </w:r>
      <w:r w:rsidR="00DC528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масштаб</w:t>
      </w:r>
      <w:r w:rsidR="00CC156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ами наслідки для різних складових фінансової безпеки); різноспрямованість (</w:t>
      </w:r>
      <w:r w:rsidR="004B52B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ефекти війни для фінансової безпеки країни є різноспрямованими за характером наслідків</w:t>
      </w:r>
      <w:r w:rsidR="00CC1562" w:rsidRPr="00CC156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– позитивні або негативні – для різних компонентів безпеки).</w:t>
      </w:r>
    </w:p>
    <w:p w:rsidR="00732E9A" w:rsidRPr="000032FE" w:rsidRDefault="00732E9A" w:rsidP="000032FE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032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Список </w:t>
      </w:r>
      <w:r w:rsidR="00E31546" w:rsidRPr="000032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літератури</w:t>
      </w:r>
      <w:r w:rsidRPr="000032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</w:p>
    <w:p w:rsidR="0035769A" w:rsidRDefault="0035769A" w:rsidP="003D29DF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41B8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Будник</w:t>
      </w:r>
      <w:r w:rsidRPr="00A41B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</w:t>
      </w:r>
      <w:r w:rsidRPr="00A41B8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Л. А.,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Ронська</w:t>
      </w:r>
      <w:proofErr w:type="spellEnd"/>
      <w:r w:rsidRPr="00A41B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</w:t>
      </w:r>
      <w:r w:rsidRPr="00A41B8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О. Г. </w:t>
      </w:r>
      <w:r w:rsidR="00BE61F6" w:rsidRPr="00A41B8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Фінансова безпека держави: загрози в умовах війни. </w:t>
      </w:r>
      <w:hyperlink r:id="rId6" w:history="1">
        <w:r w:rsidR="00BE61F6" w:rsidRPr="00A41B8B">
          <w:rPr>
            <w:rFonts w:ascii="Times New Roman" w:hAnsi="Times New Roman" w:cs="Times New Roman"/>
            <w:i/>
            <w:sz w:val="24"/>
            <w:szCs w:val="24"/>
            <w:lang w:val="uk-UA"/>
          </w:rPr>
          <w:t>Р</w:t>
        </w:r>
        <w:r w:rsidR="00BE61F6" w:rsidRPr="00A41B8B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  <w:lang w:val="uk-UA"/>
          </w:rPr>
          <w:t>осійсько-українська війна: право, безпека, світ</w:t>
        </w:r>
      </w:hyperlink>
      <w:r w:rsidRPr="00A41B8B">
        <w:rPr>
          <w:rFonts w:ascii="Times New Roman" w:hAnsi="Times New Roman" w:cs="Times New Roman"/>
          <w:sz w:val="24"/>
          <w:szCs w:val="24"/>
          <w:lang w:val="uk-UA"/>
        </w:rPr>
        <w:t xml:space="preserve">: Матеріали VI Міжнародної науково-практичної конференції (29-30 квітня 2022 р.). </w:t>
      </w:r>
      <w:r w:rsidR="00BE61F6" w:rsidRPr="00A41B8B">
        <w:rPr>
          <w:rFonts w:ascii="Times New Roman" w:hAnsi="Times New Roman" w:cs="Times New Roman"/>
          <w:sz w:val="24"/>
          <w:szCs w:val="24"/>
          <w:lang w:val="uk-UA"/>
        </w:rPr>
        <w:t>Тернопіль, 2022. С.206-210.</w:t>
      </w:r>
    </w:p>
    <w:p w:rsidR="00CC1562" w:rsidRPr="00A41B8B" w:rsidRDefault="00CC1562" w:rsidP="003D29DF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Національний банк України: Статисти</w:t>
      </w:r>
      <w:r w:rsidR="00062E81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r w:rsidRPr="00A41B8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URL: </w:t>
      </w:r>
      <w:r w:rsidR="00062E81" w:rsidRPr="00062E8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https://bank.gov.ua/ua/statistic</w:t>
      </w:r>
      <w:hyperlink r:id="rId7" w:anchor="Text" w:history="1"/>
      <w:r w:rsidRPr="00A41B8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 </w:t>
      </w:r>
      <w:r w:rsidRPr="00CC1562">
        <w:rPr>
          <w:rFonts w:ascii="Times New Roman" w:hAnsi="Times New Roman" w:cs="Times New Roman"/>
          <w:sz w:val="24"/>
          <w:szCs w:val="24"/>
          <w:lang w:val="uk-UA"/>
        </w:rPr>
        <w:t xml:space="preserve">(дата </w:t>
      </w:r>
      <w:r w:rsidRPr="00A41B8B">
        <w:rPr>
          <w:rFonts w:ascii="Times New Roman" w:hAnsi="Times New Roman" w:cs="Times New Roman"/>
          <w:sz w:val="24"/>
          <w:szCs w:val="24"/>
          <w:lang w:val="uk-UA"/>
        </w:rPr>
        <w:t>звернення: 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41B8B">
        <w:rPr>
          <w:rFonts w:ascii="Times New Roman" w:hAnsi="Times New Roman" w:cs="Times New Roman"/>
          <w:sz w:val="24"/>
          <w:szCs w:val="24"/>
          <w:lang w:val="uk-UA"/>
        </w:rPr>
        <w:t>.11.2023)</w:t>
      </w:r>
      <w:r w:rsidRPr="00A41B8B">
        <w:rPr>
          <w:rFonts w:ascii="Times New Roman" w:hAnsi="Times New Roman" w:cs="Times New Roman"/>
          <w:spacing w:val="-5"/>
          <w:sz w:val="24"/>
          <w:szCs w:val="24"/>
          <w:lang w:val="uk-UA"/>
        </w:rPr>
        <w:t>.</w:t>
      </w:r>
    </w:p>
    <w:p w:rsidR="00A41B8B" w:rsidRPr="00A41B8B" w:rsidRDefault="0035160E" w:rsidP="00A41B8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A41B8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 затвердження Методичних рекомендацій щодо розрахунку рівня економічної безпеки України: Наказ Міністерства економічного розвитку і торгівлі України від 29 жовтня 2013 р. № 1277. URL: </w:t>
      </w:r>
      <w:hyperlink r:id="rId8" w:anchor="Text" w:history="1">
        <w:r w:rsidRPr="00A41B8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https://zakon.rada.gov.ua/rada/show/v1277731-13#Text</w:t>
        </w:r>
      </w:hyperlink>
      <w:r w:rsidR="00A41B8B" w:rsidRPr="00A41B8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 </w:t>
      </w:r>
      <w:r w:rsidR="00A41B8B" w:rsidRPr="00A41B8B">
        <w:rPr>
          <w:rFonts w:ascii="Times New Roman" w:hAnsi="Times New Roman" w:cs="Times New Roman"/>
          <w:sz w:val="24"/>
          <w:szCs w:val="24"/>
        </w:rPr>
        <w:t xml:space="preserve">(дата </w:t>
      </w:r>
      <w:r w:rsidR="00A41B8B" w:rsidRPr="00A41B8B">
        <w:rPr>
          <w:rFonts w:ascii="Times New Roman" w:hAnsi="Times New Roman" w:cs="Times New Roman"/>
          <w:sz w:val="24"/>
          <w:szCs w:val="24"/>
          <w:lang w:val="uk-UA"/>
        </w:rPr>
        <w:t>звернення: 17.11.2023)</w:t>
      </w:r>
      <w:r w:rsidR="00A41B8B" w:rsidRPr="00A41B8B">
        <w:rPr>
          <w:rFonts w:ascii="Times New Roman" w:hAnsi="Times New Roman" w:cs="Times New Roman"/>
          <w:spacing w:val="-5"/>
          <w:sz w:val="24"/>
          <w:szCs w:val="24"/>
          <w:lang w:val="uk-UA"/>
        </w:rPr>
        <w:t>.</w:t>
      </w:r>
    </w:p>
    <w:p w:rsidR="0035160E" w:rsidRPr="00EE4A49" w:rsidRDefault="003D29DF" w:rsidP="00EE4A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proofErr w:type="spellStart"/>
      <w:r w:rsidRPr="00A41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Bulatova</w:t>
      </w:r>
      <w:proofErr w:type="spellEnd"/>
      <w:r w:rsidRPr="00A41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O., </w:t>
      </w:r>
      <w:proofErr w:type="spellStart"/>
      <w:r w:rsidRPr="00A41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Chentukov</w:t>
      </w:r>
      <w:proofErr w:type="spellEnd"/>
      <w:r w:rsidRPr="00A41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Y., </w:t>
      </w:r>
      <w:proofErr w:type="spellStart"/>
      <w:r w:rsidRPr="00A41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Shabelnyk</w:t>
      </w:r>
      <w:proofErr w:type="spellEnd"/>
      <w:r w:rsidRPr="00A41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T., </w:t>
      </w:r>
      <w:proofErr w:type="spellStart"/>
      <w:r w:rsidRPr="00A41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>Marena</w:t>
      </w:r>
      <w:proofErr w:type="spellEnd"/>
      <w:r w:rsidRPr="00A41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T.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The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impact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of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global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financial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transformations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on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the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economic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security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of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Central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and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Eastern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European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>countries</w:t>
      </w:r>
      <w:proofErr w:type="spellEnd"/>
      <w:r w:rsidRPr="00A41B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A41B8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Public</w:t>
      </w:r>
      <w:proofErr w:type="spellEnd"/>
      <w:r w:rsidRPr="00A41B8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and</w:t>
      </w:r>
      <w:proofErr w:type="spellEnd"/>
      <w:r w:rsidRPr="00A41B8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Municipal</w:t>
      </w:r>
      <w:proofErr w:type="spellEnd"/>
      <w:r w:rsidRPr="00A41B8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Pr="00A41B8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Finance</w:t>
      </w:r>
      <w:proofErr w:type="spellEnd"/>
      <w:r w:rsidRPr="00A41B8B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</w:t>
      </w:r>
      <w:r w:rsidRPr="00A41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2020. </w:t>
      </w:r>
      <w:r w:rsidRPr="00A41B8B">
        <w:rPr>
          <w:rFonts w:ascii="Times New Roman" w:hAnsi="Times New Roman" w:cs="Times New Roman"/>
          <w:bCs/>
          <w:iCs/>
          <w:sz w:val="24"/>
          <w:szCs w:val="24"/>
          <w:lang w:val="en-US"/>
        </w:rPr>
        <w:t>Issue</w:t>
      </w:r>
      <w:r w:rsidRPr="00A41B8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9(1). Р. 1–13.</w:t>
      </w:r>
    </w:p>
    <w:sectPr w:rsidR="0035160E" w:rsidRPr="00EE4A49" w:rsidSect="003F1A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B0CC8"/>
    <w:multiLevelType w:val="hybridMultilevel"/>
    <w:tmpl w:val="FAE483D2"/>
    <w:lvl w:ilvl="0" w:tplc="7862E4B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FFB1DB7"/>
    <w:multiLevelType w:val="hybridMultilevel"/>
    <w:tmpl w:val="4B5A2F3C"/>
    <w:lvl w:ilvl="0" w:tplc="7862E4B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9C"/>
    <w:rsid w:val="000032FE"/>
    <w:rsid w:val="00062E81"/>
    <w:rsid w:val="00095E71"/>
    <w:rsid w:val="000B1453"/>
    <w:rsid w:val="000D449C"/>
    <w:rsid w:val="00136E6A"/>
    <w:rsid w:val="00166A69"/>
    <w:rsid w:val="001B2296"/>
    <w:rsid w:val="001B5776"/>
    <w:rsid w:val="001F2F22"/>
    <w:rsid w:val="00220480"/>
    <w:rsid w:val="00286700"/>
    <w:rsid w:val="002A1365"/>
    <w:rsid w:val="002A29DA"/>
    <w:rsid w:val="002E25F8"/>
    <w:rsid w:val="00312F09"/>
    <w:rsid w:val="0035160E"/>
    <w:rsid w:val="0035769A"/>
    <w:rsid w:val="0037672F"/>
    <w:rsid w:val="003D29DF"/>
    <w:rsid w:val="003F1AE1"/>
    <w:rsid w:val="004062E7"/>
    <w:rsid w:val="004B52B2"/>
    <w:rsid w:val="00546A57"/>
    <w:rsid w:val="00553FAF"/>
    <w:rsid w:val="005B6EA2"/>
    <w:rsid w:val="00630C70"/>
    <w:rsid w:val="006C3D8A"/>
    <w:rsid w:val="006E1CF0"/>
    <w:rsid w:val="007117D1"/>
    <w:rsid w:val="00732E9A"/>
    <w:rsid w:val="007964B4"/>
    <w:rsid w:val="007D13B2"/>
    <w:rsid w:val="008B6895"/>
    <w:rsid w:val="009630BF"/>
    <w:rsid w:val="0098385F"/>
    <w:rsid w:val="009B66A9"/>
    <w:rsid w:val="00A41B8B"/>
    <w:rsid w:val="00A61163"/>
    <w:rsid w:val="00AB2C29"/>
    <w:rsid w:val="00B37A0D"/>
    <w:rsid w:val="00BE61F6"/>
    <w:rsid w:val="00BF639C"/>
    <w:rsid w:val="00C41FBE"/>
    <w:rsid w:val="00C56D21"/>
    <w:rsid w:val="00C75677"/>
    <w:rsid w:val="00CC1562"/>
    <w:rsid w:val="00CD10C8"/>
    <w:rsid w:val="00DC5282"/>
    <w:rsid w:val="00E31546"/>
    <w:rsid w:val="00E57E2B"/>
    <w:rsid w:val="00E93A83"/>
    <w:rsid w:val="00E94B4F"/>
    <w:rsid w:val="00EE4A49"/>
    <w:rsid w:val="00F1700B"/>
    <w:rsid w:val="00F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C8F45-F7B5-43A7-BC16-02F3B67D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700B"/>
    <w:pPr>
      <w:spacing w:after="200" w:line="276" w:lineRule="auto"/>
      <w:ind w:left="720"/>
      <w:contextualSpacing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3576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C56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1277731-13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rada/show/v1277731-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fuf.wunu.edu.ua/index.php/confuf/issue/view/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E265-3EBA-4DEC-BC33-2826808B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Tetyana</cp:lastModifiedBy>
  <cp:revision>29</cp:revision>
  <dcterms:created xsi:type="dcterms:W3CDTF">2023-11-19T19:29:00Z</dcterms:created>
  <dcterms:modified xsi:type="dcterms:W3CDTF">2023-12-03T15:02:00Z</dcterms:modified>
</cp:coreProperties>
</file>