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EC" w:rsidRDefault="00470CEC" w:rsidP="00470CEC">
      <w:pPr>
        <w:jc w:val="left"/>
        <w:rPr>
          <w:caps/>
          <w:lang w:val="uk-UA"/>
        </w:rPr>
      </w:pPr>
      <w:r>
        <w:rPr>
          <w:caps/>
          <w:lang w:val="uk-UA"/>
        </w:rPr>
        <w:t>Удк</w:t>
      </w:r>
      <w:r w:rsidR="00775013">
        <w:rPr>
          <w:caps/>
          <w:lang w:val="uk-UA"/>
        </w:rPr>
        <w:t xml:space="preserve"> 314</w:t>
      </w:r>
    </w:p>
    <w:p w:rsidR="00470CEC" w:rsidRDefault="005D6A11" w:rsidP="005D6A11">
      <w:pPr>
        <w:jc w:val="right"/>
        <w:rPr>
          <w:b/>
          <w:lang w:val="uk-UA"/>
        </w:rPr>
      </w:pPr>
      <w:proofErr w:type="spellStart"/>
      <w:r w:rsidRPr="00775013">
        <w:rPr>
          <w:b/>
          <w:caps/>
          <w:lang w:val="uk-UA"/>
        </w:rPr>
        <w:t>Р</w:t>
      </w:r>
      <w:r w:rsidRPr="00775013">
        <w:rPr>
          <w:b/>
          <w:lang w:val="uk-UA"/>
        </w:rPr>
        <w:t>агуліна</w:t>
      </w:r>
      <w:proofErr w:type="spellEnd"/>
      <w:r w:rsidRPr="00775013">
        <w:rPr>
          <w:b/>
          <w:lang w:val="uk-UA"/>
        </w:rPr>
        <w:t xml:space="preserve"> </w:t>
      </w:r>
      <w:r w:rsidR="00470CEC" w:rsidRPr="00775013">
        <w:rPr>
          <w:b/>
          <w:lang w:val="uk-UA"/>
        </w:rPr>
        <w:t>Анастасія Олександрівна</w:t>
      </w:r>
      <w:r w:rsidRPr="00775013">
        <w:rPr>
          <w:b/>
          <w:lang w:val="uk-UA"/>
        </w:rPr>
        <w:t xml:space="preserve"> </w:t>
      </w:r>
    </w:p>
    <w:p w:rsidR="009E189C" w:rsidRPr="00775013" w:rsidRDefault="009E189C" w:rsidP="005D6A11">
      <w:pPr>
        <w:jc w:val="right"/>
        <w:rPr>
          <w:b/>
          <w:lang w:val="uk-UA"/>
        </w:rPr>
      </w:pPr>
      <w:r>
        <w:rPr>
          <w:b/>
          <w:lang w:val="uk-UA"/>
        </w:rPr>
        <w:t>071 Облік і оподаткування</w:t>
      </w:r>
    </w:p>
    <w:p w:rsidR="005D6A11" w:rsidRPr="00775013" w:rsidRDefault="005D6A11" w:rsidP="00470CEC">
      <w:pPr>
        <w:jc w:val="right"/>
        <w:rPr>
          <w:b/>
          <w:lang w:val="uk-UA"/>
        </w:rPr>
      </w:pPr>
      <w:r w:rsidRPr="00775013">
        <w:rPr>
          <w:b/>
          <w:lang w:val="uk-UA"/>
        </w:rPr>
        <w:t>здобувач вищої освіти</w:t>
      </w:r>
      <w:r w:rsidR="00470CEC" w:rsidRPr="00775013">
        <w:rPr>
          <w:b/>
          <w:lang w:val="uk-UA"/>
        </w:rPr>
        <w:t xml:space="preserve"> </w:t>
      </w:r>
      <w:r w:rsidRPr="00775013">
        <w:rPr>
          <w:b/>
          <w:lang w:val="uk-UA"/>
        </w:rPr>
        <w:t>обліково-фінансового факультету</w:t>
      </w:r>
    </w:p>
    <w:p w:rsidR="00470CEC" w:rsidRPr="00775013" w:rsidRDefault="00470CEC" w:rsidP="00470CEC">
      <w:pPr>
        <w:jc w:val="right"/>
        <w:rPr>
          <w:b/>
          <w:lang w:val="uk-UA"/>
        </w:rPr>
      </w:pPr>
      <w:r w:rsidRPr="00775013">
        <w:rPr>
          <w:b/>
          <w:lang w:val="uk-UA"/>
        </w:rPr>
        <w:t>Миколаївський національний аграрний університет</w:t>
      </w:r>
    </w:p>
    <w:p w:rsidR="00470CEC" w:rsidRDefault="009E189C" w:rsidP="00470CEC">
      <w:pPr>
        <w:jc w:val="right"/>
        <w:rPr>
          <w:lang w:val="en-US"/>
        </w:rPr>
      </w:pPr>
      <w:hyperlink r:id="rId5" w:history="1">
        <w:r w:rsidR="00470CEC" w:rsidRPr="00923BAA">
          <w:rPr>
            <w:rStyle w:val="a5"/>
            <w:lang w:val="en-US"/>
          </w:rPr>
          <w:t>nastya.ragulina.2004@gmail.com</w:t>
        </w:r>
      </w:hyperlink>
    </w:p>
    <w:p w:rsidR="00B11A5F" w:rsidRDefault="00B11A5F" w:rsidP="005D6A11">
      <w:pPr>
        <w:rPr>
          <w:lang w:val="uk-UA"/>
        </w:rPr>
      </w:pPr>
      <w:bookmarkStart w:id="0" w:name="_GoBack"/>
      <w:bookmarkEnd w:id="0"/>
    </w:p>
    <w:p w:rsidR="005D6A11" w:rsidRDefault="001137A1" w:rsidP="005D6A11">
      <w:pPr>
        <w:jc w:val="center"/>
        <w:rPr>
          <w:b/>
          <w:lang w:val="uk-UA"/>
        </w:rPr>
      </w:pPr>
      <w:r>
        <w:rPr>
          <w:b/>
          <w:lang w:val="uk-UA"/>
        </w:rPr>
        <w:t>ДИНАМІКА</w:t>
      </w:r>
      <w:r w:rsidR="005D6A11">
        <w:rPr>
          <w:b/>
          <w:lang w:val="uk-UA"/>
        </w:rPr>
        <w:t xml:space="preserve"> НАСЕЛЕННЯ УКРАЇНИ </w:t>
      </w:r>
      <w:r w:rsidR="0067480B">
        <w:rPr>
          <w:b/>
          <w:lang w:val="uk-UA"/>
        </w:rPr>
        <w:t>ВПРОДОВЖ ОСТАННІХ РОКІВ</w:t>
      </w:r>
    </w:p>
    <w:p w:rsidR="005D6A11" w:rsidRDefault="001137A1" w:rsidP="005D6A11">
      <w:pPr>
        <w:rPr>
          <w:lang w:val="uk-UA"/>
        </w:rPr>
      </w:pPr>
      <w:r w:rsidRPr="001137A1">
        <w:rPr>
          <w:lang w:val="uk-UA"/>
        </w:rPr>
        <w:t>В Україні уже щонайменше останні десять років зберігається непроста демографічна ситуація.</w:t>
      </w:r>
      <w:r>
        <w:rPr>
          <w:lang w:val="uk-UA"/>
        </w:rPr>
        <w:t xml:space="preserve"> </w:t>
      </w:r>
      <w:r w:rsidRPr="001137A1">
        <w:rPr>
          <w:lang w:val="uk-UA"/>
        </w:rPr>
        <w:t>Основними причинами зменшення населення є низький рівень народжуваності, високий рівень смертності та міграційні процеси.</w:t>
      </w:r>
      <w:r w:rsidR="00D83A29">
        <w:rPr>
          <w:lang w:val="uk-UA"/>
        </w:rPr>
        <w:t xml:space="preserve"> </w:t>
      </w:r>
      <w:r w:rsidR="00D83A29" w:rsidRPr="00D83A29">
        <w:rPr>
          <w:lang w:val="uk-UA"/>
        </w:rPr>
        <w:t>Населення України розподіляється між різними регіонами країни нерівномірно. Найбільш населені регіони - це Київська, Дніпропетровська, Харківська та Одеська області. Найменш населені регіони - це Чернівецька, Закарпатська та Луганська області.</w:t>
      </w:r>
    </w:p>
    <w:p w:rsidR="00D83A29" w:rsidRDefault="00D83A29" w:rsidP="005D6A11">
      <w:pPr>
        <w:rPr>
          <w:lang w:val="uk-UA"/>
        </w:rPr>
      </w:pPr>
      <w:r>
        <w:rPr>
          <w:lang w:val="uk-UA"/>
        </w:rPr>
        <w:t>Проаналізуємо інформацію щодо чисельності населення України (млн осіб) в період з 1995 по 2021 роки</w:t>
      </w:r>
      <w:r w:rsidR="00EE4C10">
        <w:rPr>
          <w:lang w:val="en-US"/>
        </w:rPr>
        <w:t xml:space="preserve"> (</w:t>
      </w:r>
      <w:r w:rsidR="00EE4C10">
        <w:rPr>
          <w:lang w:val="uk-UA"/>
        </w:rPr>
        <w:t>рис.1)</w:t>
      </w:r>
      <w:r>
        <w:rPr>
          <w:lang w:val="uk-UA"/>
        </w:rPr>
        <w:t>:</w:t>
      </w:r>
    </w:p>
    <w:p w:rsidR="00D83A29" w:rsidRDefault="00D83A29" w:rsidP="00D83A29">
      <w:pPr>
        <w:keepNext/>
      </w:pPr>
      <w:r>
        <w:rPr>
          <w:noProof/>
          <w:lang w:eastAsia="ru-RU"/>
        </w:rPr>
        <w:drawing>
          <wp:inline distT="0" distB="0" distL="0" distR="0" wp14:anchorId="3BED0D6E" wp14:editId="1028FD45">
            <wp:extent cx="5768340" cy="2621280"/>
            <wp:effectExtent l="0" t="0" r="381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7651" w:rsidRPr="00EE4C10" w:rsidRDefault="00D83A29" w:rsidP="00D83A29">
      <w:pPr>
        <w:pStyle w:val="a3"/>
        <w:jc w:val="center"/>
        <w:rPr>
          <w:color w:val="auto"/>
          <w:sz w:val="22"/>
          <w:szCs w:val="22"/>
          <w:lang w:val="en-US"/>
        </w:rPr>
      </w:pPr>
      <w:r w:rsidRPr="00EE4C10">
        <w:rPr>
          <w:color w:val="auto"/>
          <w:sz w:val="22"/>
          <w:szCs w:val="22"/>
        </w:rPr>
        <w:t xml:space="preserve">Рисунок </w:t>
      </w:r>
      <w:r w:rsidRPr="00EE4C10">
        <w:rPr>
          <w:color w:val="auto"/>
          <w:sz w:val="22"/>
          <w:szCs w:val="22"/>
        </w:rPr>
        <w:fldChar w:fldCharType="begin"/>
      </w:r>
      <w:r w:rsidRPr="00EE4C10">
        <w:rPr>
          <w:color w:val="auto"/>
          <w:sz w:val="22"/>
          <w:szCs w:val="22"/>
        </w:rPr>
        <w:instrText xml:space="preserve"> SEQ Рисунок \* ARABIC </w:instrText>
      </w:r>
      <w:r w:rsidRPr="00EE4C10">
        <w:rPr>
          <w:color w:val="auto"/>
          <w:sz w:val="22"/>
          <w:szCs w:val="22"/>
        </w:rPr>
        <w:fldChar w:fldCharType="separate"/>
      </w:r>
      <w:r w:rsidR="00093332" w:rsidRPr="00EE4C10">
        <w:rPr>
          <w:noProof/>
          <w:color w:val="auto"/>
          <w:sz w:val="22"/>
          <w:szCs w:val="22"/>
        </w:rPr>
        <w:t>1</w:t>
      </w:r>
      <w:r w:rsidRPr="00EE4C10">
        <w:rPr>
          <w:color w:val="auto"/>
          <w:sz w:val="22"/>
          <w:szCs w:val="22"/>
        </w:rPr>
        <w:fldChar w:fldCharType="end"/>
      </w:r>
      <w:r w:rsidR="00192765" w:rsidRPr="00EE4C10">
        <w:rPr>
          <w:color w:val="auto"/>
          <w:sz w:val="22"/>
          <w:szCs w:val="22"/>
          <w:lang w:val="uk-UA"/>
        </w:rPr>
        <w:t xml:space="preserve"> </w:t>
      </w:r>
      <w:r w:rsidRPr="00EE4C10">
        <w:rPr>
          <w:color w:val="auto"/>
          <w:sz w:val="22"/>
          <w:szCs w:val="22"/>
          <w:lang w:val="uk-UA"/>
        </w:rPr>
        <w:t>Чисельність населення України в період з 1995 по 2021 роки</w:t>
      </w:r>
      <w:r w:rsidR="00EE4C10">
        <w:rPr>
          <w:color w:val="auto"/>
          <w:sz w:val="22"/>
          <w:szCs w:val="22"/>
          <w:lang w:val="uk-UA"/>
        </w:rPr>
        <w:t xml:space="preserve"> </w:t>
      </w:r>
      <w:r w:rsidR="00EE4C10">
        <w:rPr>
          <w:color w:val="auto"/>
          <w:sz w:val="22"/>
          <w:szCs w:val="22"/>
          <w:lang w:val="en-US"/>
        </w:rPr>
        <w:t>[1]</w:t>
      </w:r>
    </w:p>
    <w:p w:rsidR="00D83A29" w:rsidRPr="006D0B5F" w:rsidRDefault="00F86D8C" w:rsidP="009A7651">
      <w:pPr>
        <w:rPr>
          <w:lang w:val="en-US"/>
        </w:rPr>
      </w:pPr>
      <w:r>
        <w:rPr>
          <w:lang w:val="uk-UA"/>
        </w:rPr>
        <w:t>Динаміка</w:t>
      </w:r>
      <w:r w:rsidR="009A7651" w:rsidRPr="009A7651">
        <w:rPr>
          <w:lang w:val="uk-UA"/>
        </w:rPr>
        <w:t xml:space="preserve"> населення є результатом народжуваності, смертності та міграції.</w:t>
      </w:r>
      <w:r w:rsidR="009A7651">
        <w:rPr>
          <w:lang w:val="uk-UA"/>
        </w:rPr>
        <w:t xml:space="preserve"> </w:t>
      </w:r>
      <w:r w:rsidR="009A7651" w:rsidRPr="009A7651">
        <w:rPr>
          <w:lang w:val="uk-UA"/>
        </w:rPr>
        <w:t>За останні 10 років в Україні в середньому щорічно помирало 665 250 осіб. Кількість народжених становила 447 649 щорічно.</w:t>
      </w:r>
      <w:r w:rsidR="009A7651">
        <w:rPr>
          <w:lang w:val="uk-UA"/>
        </w:rPr>
        <w:t xml:space="preserve"> </w:t>
      </w:r>
      <w:r w:rsidR="009A7651" w:rsidRPr="009A7651">
        <w:rPr>
          <w:lang w:val="uk-UA"/>
        </w:rPr>
        <w:t>Зміни народжуваності та смертності показано на наступному графіку. Усі дані стосуються народжуваності</w:t>
      </w:r>
      <w:r w:rsidR="006D0B5F">
        <w:rPr>
          <w:lang w:val="uk-UA"/>
        </w:rPr>
        <w:t xml:space="preserve"> або смертності на 1000 жителів </w:t>
      </w:r>
      <w:r w:rsidR="006D0B5F">
        <w:rPr>
          <w:lang w:val="en-US"/>
        </w:rPr>
        <w:t>[1].</w:t>
      </w:r>
    </w:p>
    <w:p w:rsidR="00093332" w:rsidRDefault="00307E76" w:rsidP="00093332">
      <w:pPr>
        <w:keepNext/>
      </w:pPr>
      <w:r>
        <w:rPr>
          <w:noProof/>
          <w:lang w:eastAsia="ru-RU"/>
        </w:rPr>
        <w:drawing>
          <wp:inline distT="0" distB="0" distL="0" distR="0" wp14:anchorId="1BC7964A" wp14:editId="52DD4A9B">
            <wp:extent cx="5669280" cy="249936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3F00" w:rsidRPr="00EE4C10" w:rsidRDefault="00093332" w:rsidP="00093332">
      <w:pPr>
        <w:pStyle w:val="a3"/>
        <w:jc w:val="center"/>
        <w:rPr>
          <w:color w:val="auto"/>
          <w:sz w:val="22"/>
          <w:szCs w:val="24"/>
          <w:lang w:val="en-US"/>
        </w:rPr>
      </w:pPr>
      <w:r w:rsidRPr="00EE4C10">
        <w:rPr>
          <w:color w:val="auto"/>
          <w:sz w:val="22"/>
          <w:szCs w:val="24"/>
        </w:rPr>
        <w:t xml:space="preserve">Рисунок </w:t>
      </w:r>
      <w:r w:rsidRPr="00EE4C10">
        <w:rPr>
          <w:color w:val="auto"/>
          <w:sz w:val="22"/>
          <w:szCs w:val="24"/>
        </w:rPr>
        <w:fldChar w:fldCharType="begin"/>
      </w:r>
      <w:r w:rsidRPr="00EE4C10">
        <w:rPr>
          <w:color w:val="auto"/>
          <w:sz w:val="22"/>
          <w:szCs w:val="24"/>
        </w:rPr>
        <w:instrText xml:space="preserve"> SEQ Рисунок \* ARABIC </w:instrText>
      </w:r>
      <w:r w:rsidRPr="00EE4C10">
        <w:rPr>
          <w:color w:val="auto"/>
          <w:sz w:val="22"/>
          <w:szCs w:val="24"/>
        </w:rPr>
        <w:fldChar w:fldCharType="separate"/>
      </w:r>
      <w:r w:rsidRPr="00EE4C10">
        <w:rPr>
          <w:noProof/>
          <w:color w:val="auto"/>
          <w:sz w:val="22"/>
          <w:szCs w:val="24"/>
        </w:rPr>
        <w:t>2</w:t>
      </w:r>
      <w:r w:rsidRPr="00EE4C10">
        <w:rPr>
          <w:color w:val="auto"/>
          <w:sz w:val="22"/>
          <w:szCs w:val="24"/>
        </w:rPr>
        <w:fldChar w:fldCharType="end"/>
      </w:r>
      <w:r w:rsidR="006E61C6">
        <w:rPr>
          <w:color w:val="auto"/>
          <w:sz w:val="22"/>
          <w:szCs w:val="24"/>
          <w:lang w:val="uk-UA"/>
        </w:rPr>
        <w:t xml:space="preserve"> Рівень народжуваності</w:t>
      </w:r>
      <w:r w:rsidRPr="00EE4C10">
        <w:rPr>
          <w:color w:val="auto"/>
          <w:sz w:val="22"/>
          <w:szCs w:val="24"/>
          <w:lang w:val="uk-UA"/>
        </w:rPr>
        <w:t xml:space="preserve"> і смертності України</w:t>
      </w:r>
      <w:r w:rsidR="00EE4C10">
        <w:rPr>
          <w:color w:val="auto"/>
          <w:sz w:val="22"/>
          <w:szCs w:val="24"/>
          <w:lang w:val="en-US"/>
        </w:rPr>
        <w:t xml:space="preserve"> [1]</w:t>
      </w:r>
    </w:p>
    <w:p w:rsidR="002E5A4E" w:rsidRDefault="00E43F00" w:rsidP="002E5A4E">
      <w:pPr>
        <w:rPr>
          <w:lang w:val="uk-UA"/>
        </w:rPr>
      </w:pPr>
      <w:r w:rsidRPr="00E43F00">
        <w:rPr>
          <w:lang w:val="uk-UA"/>
        </w:rPr>
        <w:lastRenderedPageBreak/>
        <w:t>За останні роки в Україні спостерігаєть</w:t>
      </w:r>
      <w:r w:rsidR="006D0B5F">
        <w:rPr>
          <w:lang w:val="uk-UA"/>
        </w:rPr>
        <w:t>ся зменшення кількості народжених</w:t>
      </w:r>
      <w:r w:rsidRPr="00E43F00">
        <w:rPr>
          <w:lang w:val="uk-UA"/>
        </w:rPr>
        <w:t xml:space="preserve"> та зростання кількості смертей. Це призводить до зменшення природного приросту населення та зростання старіння населення. Також в Україні спосте</w:t>
      </w:r>
      <w:r w:rsidR="006D0B5F">
        <w:rPr>
          <w:lang w:val="uk-UA"/>
        </w:rPr>
        <w:t>рігається міграційна криза, адже</w:t>
      </w:r>
      <w:r w:rsidRPr="00E43F00">
        <w:rPr>
          <w:lang w:val="uk-UA"/>
        </w:rPr>
        <w:t xml:space="preserve"> значна кількість українців виїжджає за кордон у пошуках </w:t>
      </w:r>
      <w:r w:rsidR="00470CEC">
        <w:rPr>
          <w:lang w:val="uk-UA"/>
        </w:rPr>
        <w:t xml:space="preserve">безпеки та </w:t>
      </w:r>
      <w:r w:rsidRPr="00E43F00">
        <w:rPr>
          <w:lang w:val="uk-UA"/>
        </w:rPr>
        <w:t>кращих умов життя.</w:t>
      </w:r>
    </w:p>
    <w:p w:rsidR="002E5A4E" w:rsidRPr="001E15E3" w:rsidRDefault="002E5A4E" w:rsidP="002E5A4E">
      <w:r w:rsidRPr="002E5A4E">
        <w:rPr>
          <w:lang w:val="uk-UA"/>
        </w:rPr>
        <w:t xml:space="preserve">Населення України швидко </w:t>
      </w:r>
      <w:r>
        <w:rPr>
          <w:lang w:val="uk-UA"/>
        </w:rPr>
        <w:t>скорочувалося ще до вторгнення р</w:t>
      </w:r>
      <w:r w:rsidRPr="002E5A4E">
        <w:rPr>
          <w:lang w:val="uk-UA"/>
        </w:rPr>
        <w:t>осії. Зараз війна поставила Україну на шлях незворотного демографічного спаду.</w:t>
      </w:r>
      <w:r>
        <w:rPr>
          <w:lang w:val="uk-UA"/>
        </w:rPr>
        <w:t xml:space="preserve"> </w:t>
      </w:r>
      <w:r w:rsidRPr="002E5A4E">
        <w:rPr>
          <w:lang w:val="uk-UA"/>
        </w:rPr>
        <w:t xml:space="preserve">За оцінками, станом на кінець січня 2023 року в Україні було переміщено близько 5,3 мільйона осіб, у той час як </w:t>
      </w:r>
      <w:r>
        <w:rPr>
          <w:lang w:val="uk-UA"/>
        </w:rPr>
        <w:t xml:space="preserve">від початку </w:t>
      </w:r>
      <w:r w:rsidRPr="002E5A4E">
        <w:rPr>
          <w:lang w:val="uk-UA"/>
        </w:rPr>
        <w:t xml:space="preserve">приблизно </w:t>
      </w:r>
      <w:r>
        <w:rPr>
          <w:lang w:val="uk-UA"/>
        </w:rPr>
        <w:t xml:space="preserve">7 мільйонів виїхали за кордон, з них </w:t>
      </w:r>
      <w:r w:rsidRPr="002E5A4E">
        <w:rPr>
          <w:lang w:val="uk-UA"/>
        </w:rPr>
        <w:t>близько</w:t>
      </w:r>
      <w:r>
        <w:rPr>
          <w:lang w:val="uk-UA"/>
        </w:rPr>
        <w:t xml:space="preserve"> 4 мільйона</w:t>
      </w:r>
      <w:r w:rsidRPr="002E5A4E">
        <w:rPr>
          <w:lang w:val="uk-UA"/>
        </w:rPr>
        <w:t xml:space="preserve"> – до ЄС.</w:t>
      </w:r>
      <w:r>
        <w:rPr>
          <w:lang w:val="uk-UA"/>
        </w:rPr>
        <w:t xml:space="preserve"> </w:t>
      </w:r>
      <w:r w:rsidRPr="002E5A4E">
        <w:rPr>
          <w:lang w:val="uk-UA"/>
        </w:rPr>
        <w:t xml:space="preserve">Це означає, що війна перемістила від 25% до 30% усього українського населення </w:t>
      </w:r>
      <w:r w:rsidR="00541FE8">
        <w:rPr>
          <w:lang w:val="uk-UA"/>
        </w:rPr>
        <w:t xml:space="preserve">в межах України та за її межами </w:t>
      </w:r>
      <w:r w:rsidR="00541FE8" w:rsidRPr="00541FE8">
        <w:t>[2].</w:t>
      </w:r>
      <w:r w:rsidR="001E15E3" w:rsidRPr="001E15E3">
        <w:t xml:space="preserve"> В одному з найбільш точних і повних досліджень можливих демографічних наслідків війни, проведених за фінансування Європейської дослідницької ради в рамках програми Європейського Союзу «Горизонт 2020», Хілл Кулу та його співробітники дійшли висновку, що на основі впливу жертв війни та припущення, що лише 10% біженців повертаються додому після закінчення війни, населення України може скоротитися або на 24%, або на 33%, залежно від того</w:t>
      </w:r>
      <w:r w:rsidR="001E15E3">
        <w:t xml:space="preserve">, короткочасна чи тривала війна </w:t>
      </w:r>
      <w:r w:rsidR="001E15E3" w:rsidRPr="001E15E3">
        <w:t>[3].</w:t>
      </w:r>
    </w:p>
    <w:p w:rsidR="00B77179" w:rsidRPr="00FE3D54" w:rsidRDefault="009A40F2" w:rsidP="00775013">
      <w:pPr>
        <w:rPr>
          <w:lang w:val="uk-UA"/>
        </w:rPr>
      </w:pPr>
      <w:r w:rsidRPr="009A40F2">
        <w:t>Історія показала, що демографічні наслідки війни будуть не лише значними під час самої війни, а й залишатимуться впливовими протягом десятиліть у майбутньому.</w:t>
      </w:r>
      <w:r w:rsidR="00FE3D54">
        <w:rPr>
          <w:lang w:val="uk-UA"/>
        </w:rPr>
        <w:t xml:space="preserve"> </w:t>
      </w:r>
      <w:r w:rsidR="00FE3D54" w:rsidRPr="00FE3D54">
        <w:rPr>
          <w:lang w:val="uk-UA"/>
        </w:rPr>
        <w:t>Хоча 4,5 мільй</w:t>
      </w:r>
      <w:r w:rsidR="00FE3D54">
        <w:rPr>
          <w:lang w:val="uk-UA"/>
        </w:rPr>
        <w:t>она повернулися на місце свого постійного проживання</w:t>
      </w:r>
      <w:r w:rsidR="00FE3D54" w:rsidRPr="00FE3D54">
        <w:rPr>
          <w:lang w:val="uk-UA"/>
        </w:rPr>
        <w:t xml:space="preserve">, деякі можуть переїхати знову, якщо ситуація </w:t>
      </w:r>
      <w:proofErr w:type="spellStart"/>
      <w:r w:rsidR="00FE3D54" w:rsidRPr="00FE3D54">
        <w:rPr>
          <w:lang w:val="uk-UA"/>
        </w:rPr>
        <w:t>погіршитьс</w:t>
      </w:r>
      <w:proofErr w:type="spellEnd"/>
      <w:r w:rsidR="00FE3D54" w:rsidRPr="009E189C">
        <w:t>я</w:t>
      </w:r>
      <w:r w:rsidR="00FE3D54" w:rsidRPr="00FE3D54">
        <w:rPr>
          <w:lang w:val="uk-UA"/>
        </w:rPr>
        <w:t>.</w:t>
      </w:r>
      <w:r w:rsidR="00FE3D54" w:rsidRPr="00FE3D54">
        <w:t xml:space="preserve"> </w:t>
      </w:r>
      <w:r w:rsidR="00FE3D54" w:rsidRPr="00FE3D54">
        <w:rPr>
          <w:lang w:val="uk-UA"/>
        </w:rPr>
        <w:t>Для того, щоб зменшити негативний вплив війни на населення України</w:t>
      </w:r>
      <w:r w:rsidR="00FE3D54">
        <w:rPr>
          <w:lang w:val="uk-UA"/>
        </w:rPr>
        <w:t xml:space="preserve"> необхідно</w:t>
      </w:r>
      <w:r w:rsidR="00FE3D54" w:rsidRPr="00FE3D54">
        <w:rPr>
          <w:lang w:val="uk-UA"/>
        </w:rPr>
        <w:t xml:space="preserve"> відновлювати інфраструктуру та створювати нові робочі місця, щоб забезпечити людей працею та підвищити рівень життя. Крім того, важливо створювати умови для збереження населення в країні, зокрема шляхом підвищення якості медичної допомоги та соціального захисту.</w:t>
      </w:r>
    </w:p>
    <w:p w:rsidR="006D0B5F" w:rsidRDefault="006D0B5F" w:rsidP="00775013">
      <w:pPr>
        <w:jc w:val="center"/>
        <w:rPr>
          <w:lang w:val="uk-UA"/>
        </w:rPr>
      </w:pPr>
      <w:r>
        <w:rPr>
          <w:lang w:val="uk-UA"/>
        </w:rPr>
        <w:t>Список</w:t>
      </w:r>
      <w:r w:rsidR="00FE3D54">
        <w:rPr>
          <w:lang w:val="uk-UA"/>
        </w:rPr>
        <w:t xml:space="preserve"> </w:t>
      </w:r>
      <w:r w:rsidR="00775013">
        <w:rPr>
          <w:lang w:val="uk-UA"/>
        </w:rPr>
        <w:t>літератури</w:t>
      </w:r>
    </w:p>
    <w:p w:rsidR="006D0B5F" w:rsidRPr="009E189C" w:rsidRDefault="006D0B5F" w:rsidP="00EE4C10">
      <w:pPr>
        <w:pStyle w:val="a4"/>
        <w:numPr>
          <w:ilvl w:val="0"/>
          <w:numId w:val="1"/>
        </w:numPr>
        <w:ind w:left="0" w:firstLine="0"/>
        <w:rPr>
          <w:szCs w:val="24"/>
          <w:lang w:val="uk-UA"/>
        </w:rPr>
      </w:pPr>
      <w:r w:rsidRPr="009E189C">
        <w:rPr>
          <w:szCs w:val="24"/>
          <w:lang w:val="uk-UA"/>
        </w:rPr>
        <w:t xml:space="preserve">1. Population growth in Ukraine. Worlddata.info. URL: </w:t>
      </w:r>
      <w:hyperlink r:id="rId8" w:history="1">
        <w:r w:rsidRPr="009E189C">
          <w:rPr>
            <w:rStyle w:val="a5"/>
            <w:szCs w:val="24"/>
            <w:lang w:val="uk-UA"/>
          </w:rPr>
          <w:t>https://www.worlddata.info/europe/ukraine/populationgrowth.php</w:t>
        </w:r>
      </w:hyperlink>
      <w:r w:rsidRPr="009E189C">
        <w:rPr>
          <w:szCs w:val="24"/>
          <w:lang w:val="uk-UA"/>
        </w:rPr>
        <w:t xml:space="preserve"> (дата звернення: 22.05.2023).</w:t>
      </w:r>
    </w:p>
    <w:p w:rsidR="006D0B5F" w:rsidRPr="009E189C" w:rsidRDefault="006D0B5F" w:rsidP="00EE4C10">
      <w:pPr>
        <w:pStyle w:val="a4"/>
        <w:numPr>
          <w:ilvl w:val="0"/>
          <w:numId w:val="1"/>
        </w:numPr>
        <w:ind w:left="0" w:firstLine="0"/>
        <w:rPr>
          <w:szCs w:val="24"/>
          <w:lang w:val="uk-UA"/>
        </w:rPr>
      </w:pPr>
      <w:r w:rsidRPr="009E189C">
        <w:rPr>
          <w:szCs w:val="24"/>
          <w:lang w:val="uk-UA"/>
        </w:rPr>
        <w:t xml:space="preserve">War exacerbates Ukraine’s population decline new report shows. EU Science Hub. URL: </w:t>
      </w:r>
      <w:hyperlink r:id="rId9" w:anchor=":~:text=Now%20the%20war%20has%20set,7%20million%20have%20fled%20abroad" w:history="1">
        <w:r w:rsidRPr="009E189C">
          <w:rPr>
            <w:rStyle w:val="a5"/>
            <w:szCs w:val="24"/>
            <w:lang w:val="uk-UA"/>
          </w:rPr>
          <w:t>https://joint-research-centre.ec.europa.eu/jrc-news-and-updates/war-exacerbates-ukraines-population-decline-new-report-shows-2023-03-08_en#:~:text=Now%20the%20war%20has%20set,7%20million%20have%20fled%20abroad</w:t>
        </w:r>
      </w:hyperlink>
      <w:r w:rsidRPr="009E189C">
        <w:rPr>
          <w:szCs w:val="24"/>
          <w:lang w:val="uk-UA"/>
        </w:rPr>
        <w:t>. (дата звернення: 22.05.2023).</w:t>
      </w:r>
    </w:p>
    <w:p w:rsidR="001E15E3" w:rsidRPr="009E189C" w:rsidRDefault="001E15E3" w:rsidP="00EE4C10">
      <w:pPr>
        <w:pStyle w:val="a4"/>
        <w:numPr>
          <w:ilvl w:val="0"/>
          <w:numId w:val="1"/>
        </w:numPr>
        <w:ind w:left="0" w:firstLine="0"/>
        <w:rPr>
          <w:szCs w:val="24"/>
          <w:lang w:val="uk-UA"/>
        </w:rPr>
      </w:pPr>
      <w:r w:rsidRPr="009E189C">
        <w:rPr>
          <w:szCs w:val="24"/>
          <w:lang w:val="uk-UA"/>
        </w:rPr>
        <w:t xml:space="preserve">Ukrayinska Pravda. The demographic tragedy of ukraine: a second holomodor?. Ukrayinska Pravda. URL: </w:t>
      </w:r>
      <w:hyperlink r:id="rId10" w:history="1">
        <w:r w:rsidRPr="009E189C">
          <w:rPr>
            <w:rStyle w:val="a5"/>
            <w:szCs w:val="24"/>
            <w:lang w:val="uk-UA"/>
          </w:rPr>
          <w:t>https://www.pravda.com.ua/eng/articles/2022/06/28/7355211/</w:t>
        </w:r>
      </w:hyperlink>
      <w:r w:rsidRPr="009E189C">
        <w:rPr>
          <w:szCs w:val="24"/>
        </w:rPr>
        <w:t xml:space="preserve"> </w:t>
      </w:r>
      <w:r w:rsidRPr="009E189C">
        <w:rPr>
          <w:szCs w:val="24"/>
          <w:lang w:val="uk-UA"/>
        </w:rPr>
        <w:t>(дата звернення: 22.05.2023).</w:t>
      </w:r>
    </w:p>
    <w:sectPr w:rsidR="001E15E3" w:rsidRPr="009E189C" w:rsidSect="00470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865E9"/>
    <w:multiLevelType w:val="hybridMultilevel"/>
    <w:tmpl w:val="C1EE6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4"/>
    <w:rsid w:val="00093332"/>
    <w:rsid w:val="001137A1"/>
    <w:rsid w:val="00192765"/>
    <w:rsid w:val="001E15E3"/>
    <w:rsid w:val="002E5A4E"/>
    <w:rsid w:val="00307E76"/>
    <w:rsid w:val="00470CEC"/>
    <w:rsid w:val="00541FE8"/>
    <w:rsid w:val="005D6A11"/>
    <w:rsid w:val="0067480B"/>
    <w:rsid w:val="006D0B5F"/>
    <w:rsid w:val="006E61C6"/>
    <w:rsid w:val="00775013"/>
    <w:rsid w:val="007F6D64"/>
    <w:rsid w:val="009A40F2"/>
    <w:rsid w:val="009A7651"/>
    <w:rsid w:val="009E189C"/>
    <w:rsid w:val="00B11A5F"/>
    <w:rsid w:val="00B77179"/>
    <w:rsid w:val="00C059A4"/>
    <w:rsid w:val="00C44422"/>
    <w:rsid w:val="00D42DE6"/>
    <w:rsid w:val="00D83A29"/>
    <w:rsid w:val="00E43F00"/>
    <w:rsid w:val="00EE4C10"/>
    <w:rsid w:val="00F057E3"/>
    <w:rsid w:val="00F86D8C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9D3F-AC35-4997-B32A-D2D6EE66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9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83A29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6D0B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0B5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4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data.info/europe/ukraine/populationgrowth.php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mailto:nastya.ragulina.2004@gmail.com" TargetMode="External"/><Relationship Id="rId10" Type="http://schemas.openxmlformats.org/officeDocument/2006/relationships/hyperlink" Target="https://www.pravda.com.ua/eng/articles/2022/06/28/73552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t-research-centre.ec.europa.eu/jrc-news-and-updates/war-exacerbates-ukraines-population-decline-new-report-shows-2023-03-08_en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Динаміка населення України в період 1995-2021 рр.,млн осіб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xVal>
            <c:numRef>
              <c:f>Лист1!$A$2:$A$8</c:f>
              <c:numCache>
                <c:formatCode>General</c:formatCode>
                <c:ptCount val="7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  <c:pt idx="5">
                  <c:v>2020</c:v>
                </c:pt>
                <c:pt idx="6">
                  <c:v>2021</c:v>
                </c:pt>
              </c:numCache>
            </c:numRef>
          </c:xVal>
          <c:yVal>
            <c:numRef>
              <c:f>Лист1!$B$2:$B$8</c:f>
              <c:numCache>
                <c:formatCode>General</c:formatCode>
                <c:ptCount val="7"/>
                <c:pt idx="0">
                  <c:v>51.51</c:v>
                </c:pt>
                <c:pt idx="1">
                  <c:v>49.18</c:v>
                </c:pt>
                <c:pt idx="2">
                  <c:v>47.11</c:v>
                </c:pt>
                <c:pt idx="3">
                  <c:v>45.87</c:v>
                </c:pt>
                <c:pt idx="4">
                  <c:v>45.15</c:v>
                </c:pt>
                <c:pt idx="5">
                  <c:v>44.13</c:v>
                </c:pt>
                <c:pt idx="6">
                  <c:v>43.79</c:v>
                </c:pt>
              </c:numCache>
            </c:numRef>
          </c:y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269343872"/>
        <c:axId val="269337208"/>
      </c:scatterChart>
      <c:valAx>
        <c:axId val="269343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Роки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37208"/>
        <c:crosses val="autoZero"/>
        <c:crossBetween val="midCat"/>
      </c:valAx>
      <c:valAx>
        <c:axId val="269337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Чисельність населення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438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Народжуваність і смертність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Народжуваність</c:v>
                </c:pt>
              </c:strCache>
            </c:strRef>
          </c:tx>
          <c:spPr>
            <a:ln w="28575" cap="rnd">
              <a:solidFill>
                <a:schemeClr val="accent6">
                  <a:tint val="77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tint val="77000"/>
                </a:schemeClr>
              </a:solidFill>
              <a:ln w="9525">
                <a:solidFill>
                  <a:schemeClr val="accent6">
                    <a:tint val="77000"/>
                  </a:schemeClr>
                </a:solidFill>
              </a:ln>
              <a:effectLst/>
            </c:spPr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1985</c:v>
                </c:pt>
                <c:pt idx="1">
                  <c:v>1990</c:v>
                </c:pt>
                <c:pt idx="2">
                  <c:v>1995</c:v>
                </c:pt>
                <c:pt idx="3">
                  <c:v>2000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14.6</c:v>
                </c:pt>
                <c:pt idx="1">
                  <c:v>12.6</c:v>
                </c:pt>
                <c:pt idx="2">
                  <c:v>9.6</c:v>
                </c:pt>
                <c:pt idx="3">
                  <c:v>7.8</c:v>
                </c:pt>
                <c:pt idx="4">
                  <c:v>9</c:v>
                </c:pt>
                <c:pt idx="5">
                  <c:v>10.8</c:v>
                </c:pt>
                <c:pt idx="6">
                  <c:v>10.7</c:v>
                </c:pt>
                <c:pt idx="7">
                  <c:v>7.8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Смертність</c:v>
                </c:pt>
              </c:strCache>
            </c:strRef>
          </c:tx>
          <c:spPr>
            <a:ln w="28575" cap="rnd">
              <a:solidFill>
                <a:schemeClr val="accent6">
                  <a:shade val="76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shade val="76000"/>
                </a:schemeClr>
              </a:solidFill>
              <a:ln w="9525">
                <a:solidFill>
                  <a:schemeClr val="accent6">
                    <a:shade val="76000"/>
                  </a:schemeClr>
                </a:solidFill>
              </a:ln>
              <a:effectLst/>
            </c:spPr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1985</c:v>
                </c:pt>
                <c:pt idx="1">
                  <c:v>1990</c:v>
                </c:pt>
                <c:pt idx="2">
                  <c:v>1995</c:v>
                </c:pt>
                <c:pt idx="3">
                  <c:v>2000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11.8</c:v>
                </c:pt>
                <c:pt idx="1">
                  <c:v>12.1</c:v>
                </c:pt>
                <c:pt idx="2">
                  <c:v>15.4</c:v>
                </c:pt>
                <c:pt idx="3">
                  <c:v>15.4</c:v>
                </c:pt>
                <c:pt idx="4">
                  <c:v>16.600000000000001</c:v>
                </c:pt>
                <c:pt idx="5">
                  <c:v>15.2</c:v>
                </c:pt>
                <c:pt idx="6">
                  <c:v>14.9</c:v>
                </c:pt>
                <c:pt idx="7">
                  <c:v>15.9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339168"/>
        <c:axId val="269340736"/>
      </c:lineChart>
      <c:catAx>
        <c:axId val="26933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40736"/>
        <c:crosses val="autoZero"/>
        <c:auto val="1"/>
        <c:lblAlgn val="ctr"/>
        <c:lblOffset val="100"/>
        <c:noMultiLvlLbl val="0"/>
      </c:catAx>
      <c:valAx>
        <c:axId val="26934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3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2023-05-22T09:45:00Z</dcterms:created>
  <dcterms:modified xsi:type="dcterms:W3CDTF">2023-11-14T17:01:00Z</dcterms:modified>
</cp:coreProperties>
</file>