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5535" w14:textId="25217665" w:rsidR="00A64BC0" w:rsidRPr="00320E9C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D77C65">
        <w:rPr>
          <w:rFonts w:ascii="Times New Roman" w:hAnsi="Times New Roman" w:cs="Times New Roman"/>
          <w:sz w:val="24"/>
          <w:szCs w:val="24"/>
        </w:rPr>
        <w:t xml:space="preserve"> 338</w:t>
      </w:r>
    </w:p>
    <w:p w14:paraId="6A8587C5" w14:textId="0F7FF991" w:rsidR="00A64BC0" w:rsidRPr="00320E9C" w:rsidRDefault="001B25D7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bookmarkStart w:id="0" w:name="_Hlk150248923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Олійник Кирило Дмитрович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2781A322" w14:textId="056813C0" w:rsidR="00B324E0" w:rsidRPr="00320E9C" w:rsidRDefault="001B25D7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bookmarkStart w:id="1" w:name="_Hlk150248569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аспірант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Pr="001B25D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кафедри економіки та міжнародних економічних відносин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  <w:bookmarkEnd w:id="1"/>
      <w:r w:rsidRPr="001B25D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br/>
        <w:t>Маріупольськ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ий</w:t>
      </w:r>
      <w:r w:rsidRPr="001B25D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державн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ий</w:t>
      </w:r>
      <w:r w:rsidRPr="001B25D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університету</w:t>
      </w:r>
    </w:p>
    <w:p w14:paraId="5EB4BCFC" w14:textId="03DAA4B6" w:rsidR="001B25D7" w:rsidRPr="001B25D7" w:rsidRDefault="001B25D7" w:rsidP="00D04B16">
      <w:pPr>
        <w:spacing w:after="0" w:line="276" w:lineRule="auto"/>
        <w:jc w:val="right"/>
        <w:rPr>
          <w:rFonts w:ascii="Times New Roman" w:hAnsi="Times New Roman" w:cs="Times New Roman"/>
          <w:iCs/>
          <w:color w:val="4472C4" w:themeColor="accent1"/>
          <w:sz w:val="24"/>
          <w:szCs w:val="24"/>
          <w:lang w:val="en-US"/>
        </w:rPr>
      </w:pPr>
      <w:hyperlink r:id="rId4" w:history="1">
        <w:r w:rsidRPr="001B25D7">
          <w:rPr>
            <w:rFonts w:ascii="Times New Roman" w:hAnsi="Times New Roman" w:cs="Times New Roman"/>
            <w:iCs/>
            <w:color w:val="4472C4" w:themeColor="accent1"/>
            <w:sz w:val="24"/>
            <w:szCs w:val="24"/>
            <w:lang w:val="uk-UA"/>
          </w:rPr>
          <w:t>oleinikkir@ukr.ne</w:t>
        </w:r>
      </w:hyperlink>
      <w:r>
        <w:rPr>
          <w:rFonts w:ascii="Times New Roman" w:hAnsi="Times New Roman" w:cs="Times New Roman"/>
          <w:iCs/>
          <w:color w:val="4472C4" w:themeColor="accent1"/>
          <w:sz w:val="24"/>
          <w:szCs w:val="24"/>
          <w:lang w:val="en-US"/>
        </w:rPr>
        <w:t>t</w:t>
      </w:r>
    </w:p>
    <w:p w14:paraId="1E90F49F" w14:textId="349F4F5F" w:rsidR="001B25D7" w:rsidRDefault="001B25D7" w:rsidP="00D04B16">
      <w:pPr>
        <w:spacing w:after="0" w:line="276" w:lineRule="auto"/>
        <w:jc w:val="right"/>
        <w:rPr>
          <w:rFonts w:ascii="Times New Roman" w:hAnsi="Times New Roman" w:cs="Times New Roman"/>
          <w:iCs/>
          <w:color w:val="4472C4" w:themeColor="accent1"/>
          <w:sz w:val="24"/>
          <w:szCs w:val="24"/>
          <w:lang w:val="uk-UA"/>
        </w:rPr>
      </w:pPr>
      <w:hyperlink r:id="rId5" w:history="1">
        <w:r w:rsidRPr="001B25D7">
          <w:rPr>
            <w:rFonts w:ascii="Times New Roman" w:hAnsi="Times New Roman" w:cs="Times New Roman"/>
            <w:iCs/>
            <w:color w:val="4472C4" w:themeColor="accent1"/>
            <w:sz w:val="24"/>
            <w:szCs w:val="24"/>
            <w:lang w:val="uk-UA"/>
          </w:rPr>
          <w:t>https://orcid.org/0009-0007-6413-7259</w:t>
        </w:r>
      </w:hyperlink>
    </w:p>
    <w:bookmarkEnd w:id="0"/>
    <w:p w14:paraId="18A82825" w14:textId="77777777" w:rsidR="001B25D7" w:rsidRPr="001B25D7" w:rsidRDefault="001B25D7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14:paraId="47130984" w14:textId="77777777" w:rsidR="00B324E0" w:rsidRPr="001B25D7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2220F49" w14:textId="54860259" w:rsidR="00A64BC0" w:rsidRPr="00BF16C5" w:rsidRDefault="00BF16C5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ЦИФРОВИЙ СУВЕРЕНІТЕТ ЯК ОСНОВА РОЗВИТКУ НАЦІОНАЛЬНОГО БІЗНЕСУ</w:t>
      </w:r>
    </w:p>
    <w:p w14:paraId="4B9AAB50" w14:textId="77777777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1B605663" w14:textId="14151820" w:rsidR="00BF16C5" w:rsidRDefault="00BF16C5" w:rsidP="00090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Цифровий суверенітет держави передбачає здатність самостійно розробляти, змінювати та контролювати технічні компоненти національної цифрової системи, здійснювати повний контроль над збереженими та оброблюваними даними та приймати автономне рішення про </w:t>
      </w:r>
      <w:r>
        <w:rPr>
          <w:rFonts w:ascii="Times New Roman" w:hAnsi="Times New Roman" w:cs="Times New Roman"/>
          <w:sz w:val="24"/>
          <w:szCs w:val="24"/>
          <w:lang w:val="uk-UA"/>
        </w:rPr>
        <w:t>надання до них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Географічне та ф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ізичне розташування платформи 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комп'ютерних центрів є важливим фактором цифрового суверенітету на рівні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ступенем 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>довірливості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передбачуваності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відносин між оператором </w:t>
      </w:r>
      <w:r w:rsidR="00667E28">
        <w:rPr>
          <w:rFonts w:ascii="Times New Roman" w:hAnsi="Times New Roman" w:cs="Times New Roman"/>
          <w:sz w:val="24"/>
          <w:szCs w:val="24"/>
          <w:lang w:val="uk-UA"/>
        </w:rPr>
        <w:t xml:space="preserve">цифрової 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інфраструктури та оператором платформи, які визначають </w:t>
      </w:r>
      <w:r w:rsidR="00EF30F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постійну технічну доступність платформи </w:t>
      </w:r>
      <w:r w:rsidR="00EF30F5">
        <w:rPr>
          <w:rFonts w:ascii="Times New Roman" w:hAnsi="Times New Roman" w:cs="Times New Roman"/>
          <w:sz w:val="24"/>
          <w:szCs w:val="24"/>
          <w:lang w:val="uk-UA"/>
        </w:rPr>
        <w:t>з усіма передбачуваними нею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сервіс</w:t>
      </w:r>
      <w:r w:rsidR="00EF30F5">
        <w:rPr>
          <w:rFonts w:ascii="Times New Roman" w:hAnsi="Times New Roman" w:cs="Times New Roman"/>
          <w:sz w:val="24"/>
          <w:szCs w:val="24"/>
          <w:lang w:val="uk-UA"/>
        </w:rPr>
        <w:t>ами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впливають на рівень захисту від кібератак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атак з боку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іноземних держав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FE7BFC2" w14:textId="7BD66A77" w:rsidR="00BF16C5" w:rsidRDefault="00BF16C5" w:rsidP="00090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Плани повоєнного відновлення 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>Україн</w:t>
      </w:r>
      <w:r>
        <w:rPr>
          <w:rFonts w:ascii="Times New Roman" w:hAnsi="Times New Roman" w:cs="Times New Roman"/>
          <w:sz w:val="24"/>
          <w:szCs w:val="24"/>
          <w:lang w:val="uk-UA"/>
        </w:rPr>
        <w:t>и мають враховувати  необхідність розвитку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цифрової 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інфраструктури </w:t>
      </w:r>
      <w:r>
        <w:rPr>
          <w:rFonts w:ascii="Times New Roman" w:hAnsi="Times New Roman" w:cs="Times New Roman"/>
          <w:sz w:val="24"/>
          <w:szCs w:val="24"/>
          <w:lang w:val="uk-UA"/>
        </w:rPr>
        <w:t>і цифрових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платформ</w:t>
      </w:r>
      <w:r>
        <w:rPr>
          <w:rFonts w:ascii="Times New Roman" w:hAnsi="Times New Roman" w:cs="Times New Roman"/>
          <w:sz w:val="24"/>
          <w:szCs w:val="24"/>
          <w:lang w:val="uk-UA"/>
        </w:rPr>
        <w:t>, що матимуть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політичн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>, економічн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чи геостратегічн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значення. Цифровий суверенітет буде недосяжним у випадку, якщо оператор платформи або постачальники апаратного та програмного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зможуть включати до системи легальні або нелегальні </w:t>
      </w:r>
      <w:proofErr w:type="spellStart"/>
      <w:r w:rsidRPr="00BF16C5">
        <w:rPr>
          <w:rFonts w:ascii="Times New Roman" w:hAnsi="Times New Roman" w:cs="Times New Roman"/>
          <w:sz w:val="24"/>
          <w:szCs w:val="24"/>
          <w:lang w:val="uk-UA"/>
        </w:rPr>
        <w:t>бекдори</w:t>
      </w:r>
      <w:proofErr w:type="spellEnd"/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та додаткові функції, які не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транспарентними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>користувач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. Цифровий суверенітет </w:t>
      </w:r>
      <w:r w:rsidR="00793B17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суверенітет даних, коли права на розпорядження та використання </w:t>
      </w:r>
      <w:r w:rsidR="00793B17">
        <w:rPr>
          <w:rFonts w:ascii="Times New Roman" w:hAnsi="Times New Roman" w:cs="Times New Roman"/>
          <w:sz w:val="24"/>
          <w:szCs w:val="24"/>
          <w:lang w:val="uk-UA"/>
        </w:rPr>
        <w:t>останніх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(доступ, передача, обробка та аналіз) </w:t>
      </w:r>
      <w:r>
        <w:rPr>
          <w:rFonts w:ascii="Times New Roman" w:hAnsi="Times New Roman" w:cs="Times New Roman"/>
          <w:sz w:val="24"/>
          <w:szCs w:val="24"/>
          <w:lang w:val="uk-UA"/>
        </w:rPr>
        <w:t>детермінують певні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дії на кожному </w:t>
      </w:r>
      <w:r w:rsidR="00793B17">
        <w:rPr>
          <w:rFonts w:ascii="Times New Roman" w:hAnsi="Times New Roman" w:cs="Times New Roman"/>
          <w:sz w:val="24"/>
          <w:szCs w:val="24"/>
          <w:lang w:val="uk-UA"/>
        </w:rPr>
        <w:t>етапі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вартості, що передбачає можливість на договірній основі включати або виключати доступ третіх осіб до даних, а також дозволяти або забороняти зв'язування різних даних або </w:t>
      </w:r>
      <w:r w:rsidR="00793B17">
        <w:rPr>
          <w:rFonts w:ascii="Times New Roman" w:hAnsi="Times New Roman" w:cs="Times New Roman"/>
          <w:sz w:val="24"/>
          <w:szCs w:val="24"/>
          <w:lang w:val="uk-UA"/>
        </w:rPr>
        <w:t xml:space="preserve">їхню 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>обробку та аналіз. Цифровий суверенітет вимагає повного контролю над самостійно генерованими даними на платформі</w:t>
      </w:r>
      <w:r w:rsidR="00793B17">
        <w:rPr>
          <w:rFonts w:ascii="Times New Roman" w:hAnsi="Times New Roman" w:cs="Times New Roman"/>
          <w:sz w:val="24"/>
          <w:szCs w:val="24"/>
          <w:lang w:val="uk-UA"/>
        </w:rPr>
        <w:t>, тоді як с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уверенітет даних передбачає не тільки розуміння того, які дані користувача дійсно доступні, але й можливість перенести всі дані на платформу іншого оператора, надати доступ третім особам або частково або повністю назавжди </w:t>
      </w:r>
      <w:r w:rsidR="00793B17">
        <w:rPr>
          <w:rFonts w:ascii="Times New Roman" w:hAnsi="Times New Roman" w:cs="Times New Roman"/>
          <w:sz w:val="24"/>
          <w:szCs w:val="24"/>
          <w:lang w:val="uk-UA"/>
        </w:rPr>
        <w:t>знищити</w:t>
      </w:r>
      <w:r w:rsidRPr="00BF16C5">
        <w:rPr>
          <w:rFonts w:ascii="Times New Roman" w:hAnsi="Times New Roman" w:cs="Times New Roman"/>
          <w:sz w:val="24"/>
          <w:szCs w:val="24"/>
          <w:lang w:val="uk-UA"/>
        </w:rPr>
        <w:t xml:space="preserve"> дані.</w:t>
      </w:r>
    </w:p>
    <w:p w14:paraId="64AE1892" w14:textId="2597C7BC" w:rsidR="00793B17" w:rsidRPr="00793B17" w:rsidRDefault="00793B17" w:rsidP="00793B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Цифровий суверенітет є необхідною передумовою для </w:t>
      </w:r>
      <w:r>
        <w:rPr>
          <w:rFonts w:ascii="Times New Roman" w:hAnsi="Times New Roman" w:cs="Times New Roman"/>
          <w:sz w:val="24"/>
          <w:szCs w:val="24"/>
          <w:lang w:val="uk-UA"/>
        </w:rPr>
        <w:t>реалізації урядом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держави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суверенної політики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активного розвитку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>комерційного сектору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умовах цифрових трансформацій, що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впливає на конкурентоспроможність, стійкість і здатність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управляти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ризиками. Держави та організації, що мають цифровий суверенітет, можуть діяти більш вільно на ринку, оскільки вони меншою мірою залежать від виробників або постачальників. У той же час, завдяки нижчим бар'єрам доступу до ринку, цифровий суверенітет дозволяє компаніям/організаціям успішніше виступати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якості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цифрових екосистемах і, таким чином, отримувати можливості для інновацій</w:t>
      </w:r>
      <w:r>
        <w:rPr>
          <w:rFonts w:ascii="Times New Roman" w:hAnsi="Times New Roman" w:cs="Times New Roman"/>
          <w:sz w:val="24"/>
          <w:szCs w:val="24"/>
          <w:lang w:val="uk-UA"/>
        </w:rPr>
        <w:t>ного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та економічно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розвитку.</w:t>
      </w:r>
    </w:p>
    <w:p w14:paraId="3A4CF3E5" w14:textId="450AFDC4" w:rsidR="00152670" w:rsidRDefault="00793B17" w:rsidP="00793B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Активна взаємодія різних </w:t>
      </w:r>
      <w:proofErr w:type="spellStart"/>
      <w:r w:rsidRPr="00793B17">
        <w:rPr>
          <w:rFonts w:ascii="Times New Roman" w:hAnsi="Times New Roman" w:cs="Times New Roman"/>
          <w:sz w:val="24"/>
          <w:szCs w:val="24"/>
          <w:lang w:val="uk-UA"/>
        </w:rPr>
        <w:t>стейкхолдерів</w:t>
      </w:r>
      <w:proofErr w:type="spellEnd"/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у процесі формування гнучких мереж створення цінності всередині та між платформними екосистемами є фундаментальною умовою розвитку цифрових бізнес-процесів та передбачає розробку нових бізнес-моделей.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Платформи можуть бути посередниками між компаніями (B2B), компаніями та кінцевими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lastRenderedPageBreak/>
        <w:t>користувачами (B2C) або тільки між приватними особами (C2C)</w:t>
      </w:r>
      <w:r>
        <w:rPr>
          <w:rFonts w:ascii="Times New Roman" w:hAnsi="Times New Roman" w:cs="Times New Roman"/>
          <w:sz w:val="24"/>
          <w:szCs w:val="24"/>
          <w:lang w:val="uk-UA"/>
        </w:rPr>
        <w:t>: в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>они або зіставляють всю інформацію у центральній базі даних, або інтегрують розподілені послуги та дані у віртуальну платформу. При цьому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забезпечую</w:t>
      </w:r>
      <w:r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основу для взаємодії з користувачами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вони можуть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брати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на себе відповідальність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здійснення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>транзакці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>, так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як переговори про цін</w:t>
      </w:r>
      <w:r w:rsidR="00EF30F5">
        <w:rPr>
          <w:rFonts w:ascii="Times New Roman" w:hAnsi="Times New Roman" w:cs="Times New Roman"/>
          <w:sz w:val="24"/>
          <w:szCs w:val="24"/>
          <w:lang w:val="uk-UA"/>
        </w:rPr>
        <w:t>оутворення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>, укладання контрактів, виставлення рахунків, доставка або обслуговування клієнтів.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інтеграції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>цифров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продукт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цифрових, логістичних, фінансових, страхових та інших послуг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промислов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зростає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гейткіперська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роль 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>посередників платформ. Оператор платформи отримує додаткову інформацію про транзакції та користувачів, яку він може використовувати для розробки нової та вдосконалення існуючої платформи, а також для перегляду сервісів, що робить платформу привабливішою, впливаючи</w:t>
      </w:r>
      <w:r w:rsidR="00EF30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тим самим</w:t>
      </w:r>
      <w:r w:rsidR="00EF30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на динаміку її зростання.</w:t>
      </w:r>
      <w:r w:rsidRPr="00793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88F34E7" w14:textId="08732276" w:rsidR="008E17EE" w:rsidRDefault="00152670" w:rsidP="001526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2670">
        <w:rPr>
          <w:rFonts w:ascii="Times New Roman" w:hAnsi="Times New Roman" w:cs="Times New Roman"/>
          <w:sz w:val="24"/>
          <w:szCs w:val="24"/>
          <w:lang w:val="uk-UA"/>
        </w:rPr>
        <w:t>«Обгороджений сад» (</w:t>
      </w:r>
      <w:proofErr w:type="spellStart"/>
      <w:r w:rsidRPr="0015267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англ</w:t>
      </w:r>
      <w:proofErr w:type="spellEnd"/>
      <w:r w:rsidRPr="0015267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«</w:t>
      </w:r>
      <w:proofErr w:type="spellStart"/>
      <w:r w:rsidRPr="00152670">
        <w:rPr>
          <w:rFonts w:ascii="Times New Roman" w:hAnsi="Times New Roman" w:cs="Times New Roman"/>
          <w:i/>
          <w:iCs/>
          <w:sz w:val="24"/>
          <w:szCs w:val="24"/>
          <w:lang w:val="uk-UA"/>
        </w:rPr>
        <w:t>Walled</w:t>
      </w:r>
      <w:proofErr w:type="spellEnd"/>
      <w:r w:rsidRPr="0015267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52670">
        <w:rPr>
          <w:rFonts w:ascii="Times New Roman" w:hAnsi="Times New Roman" w:cs="Times New Roman"/>
          <w:i/>
          <w:iCs/>
          <w:sz w:val="24"/>
          <w:szCs w:val="24"/>
          <w:lang w:val="uk-UA"/>
        </w:rPr>
        <w:t>garden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»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 xml:space="preserve">) — це термін для позначення бізнес-моделі, в якій оператор зберігає контроль над програмним забезпеченням, яке можна використовувати через платформу та/або над мобільним термінальним обладнанням (або апаратним забезпеченням в цілому), а також над контентом і робить платформу доступною для певної групи клієнтів. Порівняно з традиційними інтернет-платформами, розвиток стратегій «огородженого саду» обумовлений, насамперед, такими аспектами, як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безпечність, 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>зручність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 xml:space="preserve">та монетизація, і будується на принципі «все з одних рук». Однак у багатьох випадках «огороджені сади» суперечать інтересам розробників та користувачів, які хотіли б мати можливість самостійно контролювати придбане ними обладнання та технології. Це означає, що «огороджені сади» потенційно суперечать цілям індивідуального цифрового суверенітету та комерційної свободи постачальників. Зрештою, сервіси в «огороджених садах» влаштовані таким чином, що перехід на іншу платформу може виявитися відносно трудомістким і дорогим внаслідок ефекту блокування та/або вартості такого переходу. В рамках цієї бізнес-моделі продукти та послуги об'єднані в мережу таким чином, що, наприклад, процеси логістики, оплати та </w:t>
      </w:r>
      <w:proofErr w:type="spellStart"/>
      <w:r w:rsidRPr="00152670">
        <w:rPr>
          <w:rFonts w:ascii="Times New Roman" w:hAnsi="Times New Roman" w:cs="Times New Roman"/>
          <w:sz w:val="24"/>
          <w:szCs w:val="24"/>
          <w:lang w:val="uk-UA"/>
        </w:rPr>
        <w:t>післяпродажного</w:t>
      </w:r>
      <w:proofErr w:type="spellEnd"/>
      <w:r w:rsidRPr="00152670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запускаються у цифровому вигляді, паралельно та </w:t>
      </w:r>
      <w:proofErr w:type="spellStart"/>
      <w:r w:rsidRPr="00152670">
        <w:rPr>
          <w:rFonts w:ascii="Times New Roman" w:hAnsi="Times New Roman" w:cs="Times New Roman"/>
          <w:sz w:val="24"/>
          <w:szCs w:val="24"/>
          <w:lang w:val="uk-UA"/>
        </w:rPr>
        <w:t>наскрізно</w:t>
      </w:r>
      <w:proofErr w:type="spellEnd"/>
      <w:r w:rsidRPr="00152670">
        <w:rPr>
          <w:rFonts w:ascii="Times New Roman" w:hAnsi="Times New Roman" w:cs="Times New Roman"/>
          <w:sz w:val="24"/>
          <w:szCs w:val="24"/>
          <w:lang w:val="uk-UA"/>
        </w:rPr>
        <w:t xml:space="preserve">, по суті, </w:t>
      </w:r>
      <w:r w:rsidR="00EF30F5">
        <w:rPr>
          <w:rFonts w:ascii="Times New Roman" w:hAnsi="Times New Roman" w:cs="Times New Roman"/>
          <w:sz w:val="24"/>
          <w:szCs w:val="24"/>
          <w:lang w:val="uk-UA"/>
        </w:rPr>
        <w:t>обмежуючи, тим самим, для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 xml:space="preserve"> клієнт</w:t>
      </w:r>
      <w:r w:rsidR="00EF30F5">
        <w:rPr>
          <w:rFonts w:ascii="Times New Roman" w:hAnsi="Times New Roman" w:cs="Times New Roman"/>
          <w:sz w:val="24"/>
          <w:szCs w:val="24"/>
          <w:lang w:val="uk-UA"/>
        </w:rPr>
        <w:t xml:space="preserve">а стимули для здійснення 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>вибору. Чим більш автоматизовані та зручні окремі етапи процесів на цифровій платформі, тим менш охоче споживач погоджуватиметься з тим, що йому доведеться вибирати альтернативний банк для здійснення платежу</w:t>
      </w:r>
      <w:r>
        <w:rPr>
          <w:rFonts w:ascii="Times New Roman" w:hAnsi="Times New Roman" w:cs="Times New Roman"/>
          <w:sz w:val="24"/>
          <w:szCs w:val="24"/>
          <w:lang w:val="uk-UA"/>
        </w:rPr>
        <w:t>, страхову чи логістичну компанію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 xml:space="preserve">. І хоча зручність, безпека та принцип «все з одних рук» все частіше сприймаються як гарант успіху бізнес-моделі «огородженого саду», це також означає, що ланцюжки створення вартості стають коротшими і, </w:t>
      </w:r>
      <w:r>
        <w:rPr>
          <w:rFonts w:ascii="Times New Roman" w:hAnsi="Times New Roman" w:cs="Times New Roman"/>
          <w:sz w:val="24"/>
          <w:szCs w:val="24"/>
          <w:lang w:val="uk-UA"/>
        </w:rPr>
        <w:t>опосередковано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>, це впливає на залежність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 xml:space="preserve"> постачальників. З точки зору цифрового суверенітету, це означає, що концентрація ринку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>ще більше обмежує можливості по зміні платформи і постачальника, що знижує рівень ди</w:t>
      </w:r>
      <w:r>
        <w:rPr>
          <w:rFonts w:ascii="Times New Roman" w:hAnsi="Times New Roman" w:cs="Times New Roman"/>
          <w:sz w:val="24"/>
          <w:szCs w:val="24"/>
          <w:lang w:val="uk-UA"/>
        </w:rPr>
        <w:t>ве</w:t>
      </w:r>
      <w:r w:rsidRPr="00152670">
        <w:rPr>
          <w:rFonts w:ascii="Times New Roman" w:hAnsi="Times New Roman" w:cs="Times New Roman"/>
          <w:sz w:val="24"/>
          <w:szCs w:val="24"/>
          <w:lang w:val="uk-UA"/>
        </w:rPr>
        <w:t>рсифікації партнерів, а значить, збільшує вразливість економічних агентів.</w:t>
      </w:r>
    </w:p>
    <w:p w14:paraId="1D1E9946" w14:textId="77777777" w:rsidR="0052581C" w:rsidRDefault="0052581C" w:rsidP="001526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B4842" w14:textId="77777777" w:rsidR="0052581C" w:rsidRPr="00320E9C" w:rsidRDefault="0052581C" w:rsidP="0052581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38CC2F19" w14:textId="76A62A06" w:rsidR="00BB3795" w:rsidRPr="00BB3795" w:rsidRDefault="00BB3795" w:rsidP="0052581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795">
        <w:rPr>
          <w:rFonts w:ascii="Times New Roman" w:hAnsi="Times New Roman" w:cs="Times New Roman"/>
          <w:sz w:val="24"/>
          <w:szCs w:val="24"/>
          <w:lang w:val="en-US"/>
        </w:rPr>
        <w:t>Pohle J.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 xml:space="preserve"> Thiel T. (2020). Digital sovereignty. Internet Policy Review, 9(4). URL: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Pr="005600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https://doi.org/10.14763/2020.4.1532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20E9C">
        <w:rPr>
          <w:rFonts w:ascii="Times New Roman" w:hAnsi="Times New Roman" w:cs="Times New Roman"/>
          <w:sz w:val="24"/>
          <w:szCs w:val="24"/>
        </w:rPr>
        <w:t>дата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BB379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07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>.2023)</w:t>
      </w:r>
    </w:p>
    <w:p w14:paraId="0191461C" w14:textId="70FCFFD0" w:rsidR="0052581C" w:rsidRPr="00BB3795" w:rsidRDefault="00BB3795" w:rsidP="001526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795">
        <w:rPr>
          <w:rFonts w:ascii="Times New Roman" w:hAnsi="Times New Roman" w:cs="Times New Roman"/>
          <w:sz w:val="24"/>
          <w:szCs w:val="24"/>
          <w:lang w:val="en-US"/>
        </w:rPr>
        <w:t>Mehra Salil 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(2011).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 xml:space="preserve"> Paradise is a Walled Garden? Trust, Antitrust and User Dynamism. </w:t>
      </w:r>
      <w:r w:rsidRPr="00BB3795">
        <w:rPr>
          <w:rFonts w:ascii="Times New Roman" w:hAnsi="Times New Roman" w:cs="Times New Roman"/>
          <w:i/>
          <w:iCs/>
          <w:sz w:val="24"/>
          <w:szCs w:val="24"/>
          <w:lang w:val="en-US"/>
        </w:rPr>
        <w:t>George Mason Law Review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>URL: </w:t>
      </w:r>
      <w:hyperlink r:id="rId7" w:tgtFrame="_blank" w:history="1">
        <w:r w:rsidRPr="00BB3795">
          <w:rPr>
            <w:rFonts w:ascii="Times New Roman" w:hAnsi="Times New Roman" w:cs="Times New Roman"/>
            <w:sz w:val="24"/>
            <w:szCs w:val="24"/>
            <w:lang w:val="en-US"/>
          </w:rPr>
          <w:t>https://ssrn.com/abstract=1813974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20E9C">
        <w:rPr>
          <w:rFonts w:ascii="Times New Roman" w:hAnsi="Times New Roman" w:cs="Times New Roman"/>
          <w:sz w:val="24"/>
          <w:szCs w:val="24"/>
        </w:rPr>
        <w:t>дата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BB379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07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BB3795">
        <w:rPr>
          <w:rFonts w:ascii="Times New Roman" w:hAnsi="Times New Roman" w:cs="Times New Roman"/>
          <w:sz w:val="24"/>
          <w:szCs w:val="24"/>
          <w:lang w:val="en-US"/>
        </w:rPr>
        <w:t>.2023)</w:t>
      </w:r>
    </w:p>
    <w:sectPr w:rsidR="0052581C" w:rsidRPr="00BB3795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AC"/>
    <w:rsid w:val="000902FA"/>
    <w:rsid w:val="000A2070"/>
    <w:rsid w:val="000C2A52"/>
    <w:rsid w:val="0010365D"/>
    <w:rsid w:val="00107E7A"/>
    <w:rsid w:val="00112018"/>
    <w:rsid w:val="00152670"/>
    <w:rsid w:val="001B25D7"/>
    <w:rsid w:val="00213703"/>
    <w:rsid w:val="00255B30"/>
    <w:rsid w:val="00262E18"/>
    <w:rsid w:val="002D3BF7"/>
    <w:rsid w:val="00320E9C"/>
    <w:rsid w:val="0033573E"/>
    <w:rsid w:val="0036731F"/>
    <w:rsid w:val="003A5569"/>
    <w:rsid w:val="003C62D0"/>
    <w:rsid w:val="003E19F7"/>
    <w:rsid w:val="0044728F"/>
    <w:rsid w:val="004D3889"/>
    <w:rsid w:val="004D54D3"/>
    <w:rsid w:val="004D6118"/>
    <w:rsid w:val="004E417B"/>
    <w:rsid w:val="00512927"/>
    <w:rsid w:val="005178B5"/>
    <w:rsid w:val="0052581C"/>
    <w:rsid w:val="00530D47"/>
    <w:rsid w:val="005A4455"/>
    <w:rsid w:val="006203C9"/>
    <w:rsid w:val="00667E28"/>
    <w:rsid w:val="006D6F9A"/>
    <w:rsid w:val="0072592B"/>
    <w:rsid w:val="0076074C"/>
    <w:rsid w:val="007748FF"/>
    <w:rsid w:val="00793B17"/>
    <w:rsid w:val="007D24B2"/>
    <w:rsid w:val="00815889"/>
    <w:rsid w:val="00840556"/>
    <w:rsid w:val="008A3247"/>
    <w:rsid w:val="008C7DA7"/>
    <w:rsid w:val="008E17EE"/>
    <w:rsid w:val="008E32F5"/>
    <w:rsid w:val="00915226"/>
    <w:rsid w:val="00920ABE"/>
    <w:rsid w:val="0093083E"/>
    <w:rsid w:val="00973116"/>
    <w:rsid w:val="009E1651"/>
    <w:rsid w:val="00A64BC0"/>
    <w:rsid w:val="00B324E0"/>
    <w:rsid w:val="00B64FAC"/>
    <w:rsid w:val="00BB3795"/>
    <w:rsid w:val="00BB631A"/>
    <w:rsid w:val="00BC3DCD"/>
    <w:rsid w:val="00BF16C5"/>
    <w:rsid w:val="00C34923"/>
    <w:rsid w:val="00C928CB"/>
    <w:rsid w:val="00CA3222"/>
    <w:rsid w:val="00CB106F"/>
    <w:rsid w:val="00D04B16"/>
    <w:rsid w:val="00D1729A"/>
    <w:rsid w:val="00D77C65"/>
    <w:rsid w:val="00DB0749"/>
    <w:rsid w:val="00DF4414"/>
    <w:rsid w:val="00EF30F5"/>
    <w:rsid w:val="00EF34D9"/>
    <w:rsid w:val="00F12DF3"/>
    <w:rsid w:val="00FA6FAA"/>
    <w:rsid w:val="00FB2A85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1B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srn.com/abstract=18139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4763/2020.4.1532" TargetMode="External"/><Relationship Id="rId5" Type="http://schemas.openxmlformats.org/officeDocument/2006/relationships/hyperlink" Target="https://orcid.org/0009-0007-6413-7259" TargetMode="External"/><Relationship Id="rId4" Type="http://schemas.openxmlformats.org/officeDocument/2006/relationships/hyperlink" Target="mailto:oleinikkir@ukr.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Резнікова Наталія Володимирівна</cp:lastModifiedBy>
  <cp:revision>5</cp:revision>
  <dcterms:created xsi:type="dcterms:W3CDTF">2023-11-06T17:37:00Z</dcterms:created>
  <dcterms:modified xsi:type="dcterms:W3CDTF">2023-11-07T11:01:00Z</dcterms:modified>
</cp:coreProperties>
</file>