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C0" w:rsidRPr="00320E9C" w:rsidRDefault="00A64BC0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D77C65">
        <w:rPr>
          <w:rFonts w:ascii="Times New Roman" w:hAnsi="Times New Roman" w:cs="Times New Roman"/>
          <w:sz w:val="24"/>
          <w:szCs w:val="24"/>
        </w:rPr>
        <w:t xml:space="preserve"> 338</w:t>
      </w:r>
    </w:p>
    <w:p w:rsidR="00A64BC0" w:rsidRPr="00320E9C" w:rsidRDefault="00232C35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Омельченко Володимир Якович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:rsidR="00B324E0" w:rsidRPr="00320E9C" w:rsidRDefault="00232C35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доктор економічних наук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професор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, </w:t>
      </w:r>
    </w:p>
    <w:p w:rsidR="00B324E0" w:rsidRPr="00320E9C" w:rsidRDefault="00232C35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професор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кафедри менеджменту та фінансів </w:t>
      </w:r>
    </w:p>
    <w:p w:rsidR="00B324E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:rsidR="00A64BC0" w:rsidRPr="00320E9C" w:rsidRDefault="000178E2" w:rsidP="00232C35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5" w:history="1">
        <w:r w:rsidR="00232C35" w:rsidRPr="00A1038B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v.omelchenko@mdu.in.ua</w:t>
        </w:r>
      </w:hyperlink>
      <w:r w:rsidR="00A64BC0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232C35" w:rsidRPr="00320E9C" w:rsidRDefault="00232C35" w:rsidP="00A64BC0">
      <w:pPr>
        <w:spacing w:after="0" w:line="276" w:lineRule="auto"/>
        <w:jc w:val="right"/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</w:pPr>
      <w:r w:rsidRPr="00232C35"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  <w:t>https://orcid.org/0000-0002-1437-747X</w:t>
      </w:r>
    </w:p>
    <w:p w:rsidR="00530D47" w:rsidRPr="00320E9C" w:rsidRDefault="00232C35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Омельченко Ганна Петрівна</w:t>
      </w:r>
      <w:r w:rsidR="00530D47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економічних наук, доцент, </w:t>
      </w:r>
    </w:p>
    <w:p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</w:t>
      </w:r>
      <w:r w:rsidR="00232C35" w:rsidRPr="00232C3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економіки та міжнародних економічних відносин</w:t>
      </w:r>
    </w:p>
    <w:p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:rsidR="000E4187" w:rsidRDefault="000178E2" w:rsidP="000E4187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6" w:history="1">
        <w:r w:rsidR="000E4187" w:rsidRPr="00A1038B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g.omelchenko@mdu.in.ua</w:t>
        </w:r>
      </w:hyperlink>
    </w:p>
    <w:p w:rsidR="00232C35" w:rsidRPr="00320E9C" w:rsidRDefault="000178E2" w:rsidP="000E4187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7" w:history="1">
        <w:r w:rsidR="00232C35" w:rsidRPr="00A1038B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https://orcid.org/0000-0002-7705-8409</w:t>
        </w:r>
      </w:hyperlink>
    </w:p>
    <w:p w:rsidR="00B324E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A64BC0" w:rsidRPr="00320E9C" w:rsidRDefault="00232C35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НАПРЯМКИ ПОВОЄННОГО ВІДНОВЛЕННЯ ТА МОДЕРНІЗНАЦІЇ ТРАНСПОРТНО-ЛОГІСТИЧНОЇ ІНФРАСТРУКТУРИ УКРАЇНИ</w:t>
      </w:r>
    </w:p>
    <w:p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bookmarkStart w:id="0" w:name="_GoBack"/>
      <w:bookmarkEnd w:id="0"/>
    </w:p>
    <w:p w:rsidR="00FB2A85" w:rsidRPr="006417B0" w:rsidRDefault="00232C35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7B0">
        <w:rPr>
          <w:rFonts w:ascii="Times New Roman" w:hAnsi="Times New Roman" w:cs="Times New Roman"/>
          <w:sz w:val="24"/>
          <w:szCs w:val="24"/>
          <w:lang w:val="uk-UA"/>
        </w:rPr>
        <w:t>Широкомасштабна агресія Росії, яка продовжується,  втрати та структурні зміни в економіці нашої держави під час війни вже сьогодні потребують</w:t>
      </w:r>
      <w:r w:rsidR="00DB04EB"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 вирішення важливого стратегічного питання – яким шляхом необхідно забезпечити ефективність </w:t>
      </w:r>
      <w:proofErr w:type="spellStart"/>
      <w:r w:rsidR="00DB04EB" w:rsidRPr="006417B0">
        <w:rPr>
          <w:rFonts w:ascii="Times New Roman" w:hAnsi="Times New Roman" w:cs="Times New Roman"/>
          <w:sz w:val="24"/>
          <w:szCs w:val="24"/>
          <w:lang w:val="uk-UA"/>
        </w:rPr>
        <w:t>поствоєнного</w:t>
      </w:r>
      <w:proofErr w:type="spellEnd"/>
      <w:r w:rsidR="00DB04EB"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 відновлення та системної модернізації економіки України. Одним з таких новітніх підходів, які успішно застосувались під час виходу з соціально-економічних криз, у тому числі і </w:t>
      </w:r>
      <w:r w:rsidR="001E102D" w:rsidRPr="006417B0">
        <w:rPr>
          <w:rFonts w:ascii="Times New Roman" w:hAnsi="Times New Roman" w:cs="Times New Roman"/>
          <w:sz w:val="24"/>
          <w:szCs w:val="24"/>
          <w:lang w:val="uk-UA"/>
        </w:rPr>
        <w:t>повоєнного характеру</w:t>
      </w:r>
      <w:r w:rsidR="00DB04EB"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 (був. </w:t>
      </w:r>
      <w:r w:rsidR="001E102D" w:rsidRPr="006417B0">
        <w:rPr>
          <w:rFonts w:ascii="Times New Roman" w:hAnsi="Times New Roman" w:cs="Times New Roman"/>
          <w:sz w:val="24"/>
          <w:szCs w:val="24"/>
          <w:lang w:val="uk-UA"/>
        </w:rPr>
        <w:t>Республіки</w:t>
      </w:r>
      <w:r w:rsidR="00DB04EB"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 Югославії, </w:t>
      </w:r>
      <w:r w:rsidR="001E102D" w:rsidRPr="006417B0">
        <w:rPr>
          <w:rFonts w:ascii="Times New Roman" w:hAnsi="Times New Roman" w:cs="Times New Roman"/>
          <w:sz w:val="24"/>
          <w:szCs w:val="24"/>
          <w:lang w:val="uk-UA"/>
        </w:rPr>
        <w:t>Німеччина</w:t>
      </w:r>
      <w:r w:rsidR="00DB04EB"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, Японія, Ліван та ін.), експерти вважають логістизацію </w:t>
      </w:r>
      <w:r w:rsidR="001E102D" w:rsidRPr="006417B0">
        <w:rPr>
          <w:rFonts w:ascii="Times New Roman" w:hAnsi="Times New Roman" w:cs="Times New Roman"/>
          <w:sz w:val="24"/>
          <w:szCs w:val="24"/>
          <w:lang w:val="uk-UA"/>
        </w:rPr>
        <w:t>процесів суспільного відтворення. Міжнародній досвід модернізації національних економік також засвідчує, що зниження на 1% витрат на логістику (управління потоками ресурсів) має такий же вплив на ефективність, як і 10% зростання обсягів збуту продукції.</w:t>
      </w:r>
    </w:p>
    <w:p w:rsidR="006417B0" w:rsidRPr="006417B0" w:rsidRDefault="001E102D" w:rsidP="006417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7B0">
        <w:rPr>
          <w:rFonts w:ascii="Times New Roman" w:hAnsi="Times New Roman" w:cs="Times New Roman"/>
          <w:sz w:val="24"/>
          <w:szCs w:val="24"/>
          <w:lang w:val="uk-UA"/>
        </w:rPr>
        <w:t>Для України, яка, незважаючи на війну, все ще має потужний транзитний потенціал, розташована на перехресті пан’європейських транспортних коридорів і світогосподарських зв’язків, саме логістизація національної економіки може стати найважливішим чинником ефективності створення і реалізації стратегії відновлення і подальшого розвитку соціально-економічної системи України.</w:t>
      </w:r>
    </w:p>
    <w:p w:rsidR="006417B0" w:rsidRPr="006417B0" w:rsidRDefault="001E102D" w:rsidP="006417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Війна докорінно впливає на становище України у світовій торгівлі та транспортній мережі. </w:t>
      </w:r>
      <w:r w:rsidR="006417B0"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При цьому українська транспортно-логістична система в цілому зазнала величезної шкоди (експерти оцінюють збитки, завдані транспортній інфраструктурі, у понад 47 мільярдів доларів США). Залізничне сполучення працює на всій підконтрольній українському уряду території і може бути швидко відновленим після </w:t>
      </w:r>
      <w:proofErr w:type="spellStart"/>
      <w:r w:rsidR="006417B0" w:rsidRPr="006417B0">
        <w:rPr>
          <w:rFonts w:ascii="Times New Roman" w:hAnsi="Times New Roman" w:cs="Times New Roman"/>
          <w:sz w:val="24"/>
          <w:szCs w:val="24"/>
          <w:lang w:val="uk-UA"/>
        </w:rPr>
        <w:t>деокупації</w:t>
      </w:r>
      <w:proofErr w:type="spellEnd"/>
      <w:r w:rsidR="006417B0"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. Не зважаючи на те, що деякі аеропорти зазнали сильних руйнувань, авіаційне сполучення з головними повітряними воротами країни (аеропортами «Бориспіль» у Києві, «Одеса» та «Львів») може бути відновлене одразу після створення безпечних умов. Порти, особливо ті, які розташовані на узбережжі Азовського моря (Бердянський та Маріупольський), зазнали більших руйнувань порівняно з іншими об’єктами транспортної інфраструктури. </w:t>
      </w:r>
    </w:p>
    <w:p w:rsidR="006417B0" w:rsidRPr="006417B0" w:rsidRDefault="006417B0" w:rsidP="006417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Однак </w:t>
      </w:r>
      <w:proofErr w:type="spellStart"/>
      <w:r w:rsidRPr="006417B0">
        <w:rPr>
          <w:rFonts w:ascii="Times New Roman" w:hAnsi="Times New Roman" w:cs="Times New Roman"/>
          <w:sz w:val="24"/>
          <w:szCs w:val="24"/>
          <w:lang w:val="uk-UA"/>
        </w:rPr>
        <w:t>війна</w:t>
      </w:r>
      <w:proofErr w:type="spellEnd"/>
      <w:r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 з Росією виявила основні проблеми транспортної системи України: розвиток залізничного вантажного транспорту лише в південному напрямку до морських портів, низьку пропускну спроможність прикордонних автомобільних та залізничних переходів, великі втрати часу при переході з української широкої та </w:t>
      </w:r>
      <w:proofErr w:type="spellStart"/>
      <w:r w:rsidRPr="006417B0">
        <w:rPr>
          <w:rFonts w:ascii="Times New Roman" w:hAnsi="Times New Roman" w:cs="Times New Roman"/>
          <w:sz w:val="24"/>
          <w:szCs w:val="24"/>
          <w:lang w:val="uk-UA"/>
        </w:rPr>
        <w:t>європейську</w:t>
      </w:r>
      <w:proofErr w:type="spellEnd"/>
      <w:r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 вузьку </w:t>
      </w:r>
      <w:r w:rsidRPr="006417B0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колію. Водночас</w:t>
      </w:r>
      <w:r w:rsidRPr="006417B0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6417B0">
        <w:rPr>
          <w:rFonts w:ascii="Times New Roman" w:hAnsi="Times New Roman" w:cs="Times New Roman"/>
          <w:sz w:val="24"/>
          <w:szCs w:val="24"/>
          <w:lang w:val="uk-UA"/>
        </w:rPr>
        <w:t>вона</w:t>
      </w:r>
      <w:r w:rsidRPr="006417B0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6417B0">
        <w:rPr>
          <w:rFonts w:ascii="Times New Roman" w:hAnsi="Times New Roman" w:cs="Times New Roman"/>
          <w:sz w:val="24"/>
          <w:szCs w:val="24"/>
          <w:lang w:val="uk-UA"/>
        </w:rPr>
        <w:t>показала,</w:t>
      </w:r>
      <w:r w:rsidRPr="006417B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6417B0">
        <w:rPr>
          <w:rFonts w:ascii="Times New Roman" w:hAnsi="Times New Roman" w:cs="Times New Roman"/>
          <w:sz w:val="24"/>
          <w:szCs w:val="24"/>
          <w:lang w:val="uk-UA"/>
        </w:rPr>
        <w:t>що українська</w:t>
      </w:r>
      <w:r w:rsidRPr="006417B0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6417B0">
        <w:rPr>
          <w:rFonts w:ascii="Times New Roman" w:hAnsi="Times New Roman" w:cs="Times New Roman"/>
          <w:sz w:val="24"/>
          <w:szCs w:val="24"/>
          <w:lang w:val="uk-UA"/>
        </w:rPr>
        <w:t>транспортна</w:t>
      </w:r>
      <w:r w:rsidRPr="006417B0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6417B0">
        <w:rPr>
          <w:rFonts w:ascii="Times New Roman" w:hAnsi="Times New Roman" w:cs="Times New Roman"/>
          <w:sz w:val="24"/>
          <w:szCs w:val="24"/>
          <w:lang w:val="uk-UA"/>
        </w:rPr>
        <w:t>мережа</w:t>
      </w:r>
      <w:r w:rsidRPr="006417B0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6417B0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6417B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6417B0">
        <w:rPr>
          <w:rFonts w:ascii="Times New Roman" w:hAnsi="Times New Roman" w:cs="Times New Roman"/>
          <w:sz w:val="24"/>
          <w:szCs w:val="24"/>
          <w:lang w:val="uk-UA"/>
        </w:rPr>
        <w:t>досить</w:t>
      </w:r>
      <w:r w:rsidRPr="006417B0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7B0">
        <w:rPr>
          <w:rFonts w:ascii="Times New Roman" w:hAnsi="Times New Roman" w:cs="Times New Roman"/>
          <w:sz w:val="24"/>
          <w:szCs w:val="24"/>
          <w:lang w:val="uk-UA"/>
        </w:rPr>
        <w:t>розвинутою,</w:t>
      </w:r>
      <w:r w:rsidRPr="006417B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proofErr w:type="spellStart"/>
      <w:r w:rsidRPr="006417B0">
        <w:rPr>
          <w:rFonts w:ascii="Times New Roman" w:hAnsi="Times New Roman" w:cs="Times New Roman"/>
          <w:sz w:val="24"/>
          <w:szCs w:val="24"/>
          <w:lang w:val="uk-UA"/>
        </w:rPr>
        <w:t>стійкою</w:t>
      </w:r>
      <w:proofErr w:type="spellEnd"/>
      <w:r w:rsidRPr="006417B0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6417B0">
        <w:rPr>
          <w:rFonts w:ascii="Times New Roman" w:hAnsi="Times New Roman" w:cs="Times New Roman"/>
          <w:sz w:val="24"/>
          <w:szCs w:val="24"/>
          <w:lang w:val="uk-UA"/>
        </w:rPr>
        <w:t>та гнучкою, що дало змогу досить швидко переорієнтовувати відповідні потоки при пошкодженні окремих транспортних вузлів та об’єктів.</w:t>
      </w:r>
    </w:p>
    <w:p w:rsidR="006417B0" w:rsidRDefault="006417B0" w:rsidP="006417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нашу думку</w:t>
      </w:r>
      <w:r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 реконструкція транспортної інфраструктури повинна </w:t>
      </w:r>
      <w:r w:rsidR="00A47CAC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здійснюватися в двох напрямках </w:t>
      </w:r>
      <w:r w:rsidR="00A47CAC" w:rsidRPr="00A47CAC">
        <w:rPr>
          <w:rFonts w:ascii="Times New Roman" w:hAnsi="Times New Roman" w:cs="Times New Roman"/>
          <w:sz w:val="24"/>
          <w:szCs w:val="24"/>
          <w:lang w:val="uk-UA"/>
        </w:rPr>
        <w:t>з урахуванням нових геополітичних реалій, які будуть передбачати обмеження зв’язків з Росією і розвиток взаємозв’язків зі східними країнами-членами ЄС, а також ЄС загалом.</w:t>
      </w:r>
      <w:r w:rsidR="00A47C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7B0">
        <w:rPr>
          <w:rFonts w:ascii="Times New Roman" w:hAnsi="Times New Roman" w:cs="Times New Roman"/>
          <w:sz w:val="24"/>
          <w:szCs w:val="24"/>
          <w:lang w:val="uk-UA"/>
        </w:rPr>
        <w:t xml:space="preserve">Крім відбудови пошкоджених під час ворожих дій споруд, доріг, мостів, портів та аеропортів, ми маємо зосередитись на інституційних механізмах, які забезпечать максимально ефективне функціонування інфраструктури та надання послуг. </w:t>
      </w:r>
    </w:p>
    <w:p w:rsidR="00A47CAC" w:rsidRDefault="00A47CAC" w:rsidP="00A47C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CAC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транспортної інфраструктури повинно мати на меті її модернізацію, підвищення енергоефективності, скорочення викидів та посилення безпеки. </w:t>
      </w:r>
      <w:proofErr w:type="spellStart"/>
      <w:r w:rsidRPr="00A47CAC"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Pr="00A47CAC">
        <w:rPr>
          <w:rFonts w:ascii="Times New Roman" w:hAnsi="Times New Roman" w:cs="Times New Roman"/>
          <w:sz w:val="24"/>
          <w:szCs w:val="24"/>
          <w:lang w:val="uk-UA"/>
        </w:rPr>
        <w:t xml:space="preserve"> відновлення в різних сферах мають також обов’язково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органічно вписуватись в процес оновлення транспортно-логістичної</w:t>
      </w:r>
      <w:r w:rsidRPr="00A47CAC">
        <w:rPr>
          <w:rFonts w:ascii="Times New Roman" w:hAnsi="Times New Roman" w:cs="Times New Roman"/>
          <w:sz w:val="24"/>
          <w:szCs w:val="24"/>
          <w:lang w:val="uk-UA"/>
        </w:rPr>
        <w:t xml:space="preserve"> системи країни. </w:t>
      </w:r>
      <w:r>
        <w:rPr>
          <w:rFonts w:ascii="Times New Roman" w:hAnsi="Times New Roman" w:cs="Times New Roman"/>
          <w:sz w:val="24"/>
          <w:szCs w:val="24"/>
          <w:lang w:val="uk-UA"/>
        </w:rPr>
        <w:t>При цьому:</w:t>
      </w:r>
    </w:p>
    <w:p w:rsidR="00B415C7" w:rsidRDefault="00B415C7" w:rsidP="00B415C7">
      <w:pPr>
        <w:pStyle w:val="a4"/>
        <w:numPr>
          <w:ilvl w:val="0"/>
          <w:numId w:val="2"/>
        </w:numPr>
        <w:spacing w:line="276" w:lineRule="auto"/>
        <w:ind w:right="115"/>
      </w:pPr>
      <w:r>
        <w:t xml:space="preserve">Включення України до транспортної мережі ЄС вимагатиме, зокрема, забезпечення відповідності залізничних </w:t>
      </w:r>
      <w:proofErr w:type="spellStart"/>
      <w:r>
        <w:t>колій</w:t>
      </w:r>
      <w:proofErr w:type="spellEnd"/>
      <w:r>
        <w:t xml:space="preserve">, локомотивів, вагонів, автомобілів, освіти водіїв та машиністів відповідним </w:t>
      </w:r>
      <w:proofErr w:type="spellStart"/>
      <w:r>
        <w:t>європейським</w:t>
      </w:r>
      <w:proofErr w:type="spellEnd"/>
      <w:r>
        <w:t xml:space="preserve"> стандартам на території України, а не лише в міжнародному сполученні. Всі процеси на транспорті (розподіл вагонів «Укрзалізниці», автобусних м</w:t>
      </w:r>
      <w:r w:rsidR="000649C4">
        <w:t xml:space="preserve">аршрутів, </w:t>
      </w:r>
      <w:proofErr w:type="spellStart"/>
      <w:r w:rsidR="000649C4">
        <w:t>концесійні</w:t>
      </w:r>
      <w:proofErr w:type="spellEnd"/>
      <w:r w:rsidR="000649C4">
        <w:t xml:space="preserve"> конкурси та ін.) мають відбуватись прозоро для того</w:t>
      </w:r>
      <w:r>
        <w:t xml:space="preserve">, щоб уникнути корупції та посилити довіру до українських </w:t>
      </w:r>
      <w:proofErr w:type="spellStart"/>
      <w:r>
        <w:t>інституцій</w:t>
      </w:r>
      <w:proofErr w:type="spellEnd"/>
      <w:r>
        <w:t>.</w:t>
      </w:r>
    </w:p>
    <w:p w:rsidR="00B415C7" w:rsidRDefault="00B415C7" w:rsidP="00B415C7">
      <w:pPr>
        <w:pStyle w:val="a4"/>
        <w:numPr>
          <w:ilvl w:val="0"/>
          <w:numId w:val="2"/>
        </w:numPr>
        <w:spacing w:line="276" w:lineRule="auto"/>
        <w:ind w:right="112"/>
      </w:pPr>
      <w:r>
        <w:t>Уряд повинен завершити реформу «Укрзалізниці» та розділити її на окремі компанії, які оперують вокзалами, коліями, ремонтними потужностями та перевозять пасажирів і вантажі. Також потрібно дозволити використання приватної тяги на залізниці, що сприятиме розвитку конкуренції на ринку вантажних та пасажирських перевезень.</w:t>
      </w:r>
    </w:p>
    <w:p w:rsidR="00B415C7" w:rsidRDefault="00B415C7" w:rsidP="00B415C7">
      <w:pPr>
        <w:pStyle w:val="a4"/>
        <w:numPr>
          <w:ilvl w:val="0"/>
          <w:numId w:val="2"/>
        </w:numPr>
        <w:spacing w:line="276" w:lineRule="auto"/>
        <w:ind w:right="113"/>
      </w:pPr>
      <w:r>
        <w:t xml:space="preserve">Необхідно широко використовувати формат державно-приватного партнерства, продовжити розпочаті </w:t>
      </w:r>
      <w:proofErr w:type="spellStart"/>
      <w:r>
        <w:t>проєкти</w:t>
      </w:r>
      <w:proofErr w:type="spellEnd"/>
      <w:r>
        <w:t xml:space="preserve"> </w:t>
      </w:r>
      <w:proofErr w:type="spellStart"/>
      <w:r>
        <w:t>ДПП</w:t>
      </w:r>
      <w:proofErr w:type="spellEnd"/>
      <w:r>
        <w:t xml:space="preserve"> в будівництві доріг та </w:t>
      </w:r>
      <w:proofErr w:type="spellStart"/>
      <w:r>
        <w:t>концесійні</w:t>
      </w:r>
      <w:proofErr w:type="spellEnd"/>
      <w:r>
        <w:t xml:space="preserve"> </w:t>
      </w:r>
      <w:proofErr w:type="spellStart"/>
      <w:r>
        <w:t>проєкти</w:t>
      </w:r>
      <w:proofErr w:type="spellEnd"/>
      <w:r>
        <w:t xml:space="preserve"> в портах, поширити </w:t>
      </w:r>
      <w:proofErr w:type="spellStart"/>
      <w:r>
        <w:t>цей</w:t>
      </w:r>
      <w:proofErr w:type="spellEnd"/>
      <w:r>
        <w:t xml:space="preserve"> досвід для розбудови річкової та повітряної інфраструктури.</w:t>
      </w:r>
    </w:p>
    <w:p w:rsidR="00B415C7" w:rsidRDefault="000E4187" w:rsidP="00B415C7">
      <w:pPr>
        <w:pStyle w:val="a4"/>
        <w:numPr>
          <w:ilvl w:val="0"/>
          <w:numId w:val="2"/>
        </w:numPr>
        <w:spacing w:line="276" w:lineRule="auto"/>
        <w:ind w:right="113"/>
      </w:pPr>
      <w:r>
        <w:t>Транспортно-логістична і</w:t>
      </w:r>
      <w:r w:rsidR="00B415C7">
        <w:t>нфраструктура має розвиватись як «</w:t>
      </w:r>
      <w:r>
        <w:t>самодостатня</w:t>
      </w:r>
      <w:r w:rsidR="00B415C7">
        <w:t>» галузь економіки, а не як інструмент вирішення локальних економічних проблем.</w:t>
      </w:r>
    </w:p>
    <w:p w:rsidR="00B415C7" w:rsidRDefault="000E4187" w:rsidP="00B415C7">
      <w:pPr>
        <w:pStyle w:val="a4"/>
        <w:numPr>
          <w:ilvl w:val="0"/>
          <w:numId w:val="2"/>
        </w:numPr>
        <w:spacing w:line="276" w:lineRule="auto"/>
        <w:ind w:right="113"/>
      </w:pPr>
      <w:r>
        <w:t>Владі</w:t>
      </w:r>
      <w:r w:rsidR="00B415C7">
        <w:t xml:space="preserve"> </w:t>
      </w:r>
      <w:r w:rsidR="004F07ED">
        <w:rPr>
          <w:lang w:val="ru-RU"/>
        </w:rPr>
        <w:t>не</w:t>
      </w:r>
      <w:r w:rsidR="004F07ED">
        <w:t xml:space="preserve">обхідно </w:t>
      </w:r>
      <w:r w:rsidR="00B415C7">
        <w:t xml:space="preserve">уникати створення нових державних перевізників (наприклад, в </w:t>
      </w:r>
      <w:proofErr w:type="spellStart"/>
      <w:r w:rsidR="00B415C7">
        <w:t>авіаційних</w:t>
      </w:r>
      <w:proofErr w:type="spellEnd"/>
      <w:r w:rsidR="00B415C7">
        <w:t xml:space="preserve"> перевезеннях) та посилювати конкуренцію через поліпшення ділового клімату та спрощення регулювання.</w:t>
      </w:r>
    </w:p>
    <w:p w:rsidR="00B415C7" w:rsidRPr="000E4187" w:rsidRDefault="000E4187" w:rsidP="000E4187">
      <w:pPr>
        <w:pStyle w:val="a4"/>
        <w:numPr>
          <w:ilvl w:val="0"/>
          <w:numId w:val="2"/>
        </w:numPr>
        <w:spacing w:line="276" w:lineRule="auto"/>
        <w:ind w:left="1069" w:right="113"/>
      </w:pPr>
      <w:r>
        <w:t>Керівництву галузі п</w:t>
      </w:r>
      <w:r w:rsidR="00B415C7">
        <w:t>ри фор</w:t>
      </w:r>
      <w:r>
        <w:t>муванні тарифної політики слід уникнути</w:t>
      </w:r>
      <w:r w:rsidR="00B415C7">
        <w:t xml:space="preserve"> крос-субсидування пасажирських перевезень за рахунок вантажних перевезень та монополізації окремих ринків перевезень державними компаніями. </w:t>
      </w:r>
    </w:p>
    <w:p w:rsidR="005A4455" w:rsidRPr="00320E9C" w:rsidRDefault="005A4455" w:rsidP="000E418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:rsidR="008C7DA7" w:rsidRPr="00320E9C" w:rsidRDefault="008C7DA7" w:rsidP="00C928C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Інфраструктурні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>. URL: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mtu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timeline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Infrastrukturni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proekti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320E9C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: </w:t>
      </w:r>
      <w:r w:rsidR="008A3247">
        <w:rPr>
          <w:rFonts w:ascii="Times New Roman" w:hAnsi="Times New Roman" w:cs="Times New Roman"/>
          <w:sz w:val="24"/>
          <w:szCs w:val="24"/>
        </w:rPr>
        <w:t>2</w:t>
      </w:r>
      <w:r w:rsidRPr="00320E9C">
        <w:rPr>
          <w:rFonts w:ascii="Times New Roman" w:hAnsi="Times New Roman" w:cs="Times New Roman"/>
          <w:sz w:val="24"/>
          <w:szCs w:val="24"/>
        </w:rPr>
        <w:t>3.08.2023)</w:t>
      </w:r>
    </w:p>
    <w:p w:rsidR="008C7DA7" w:rsidRPr="00320E9C" w:rsidRDefault="008C7DA7" w:rsidP="00C928C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інфраструктурні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правда. URL: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epravda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columns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/2022/09/7/691202/</w:t>
        </w:r>
      </w:hyperlink>
      <w:r w:rsidRPr="00320E9C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: </w:t>
      </w:r>
      <w:r w:rsidR="008A3247">
        <w:rPr>
          <w:rFonts w:ascii="Times New Roman" w:hAnsi="Times New Roman" w:cs="Times New Roman"/>
          <w:sz w:val="24"/>
          <w:szCs w:val="24"/>
        </w:rPr>
        <w:t>2</w:t>
      </w:r>
      <w:r w:rsidRPr="00320E9C">
        <w:rPr>
          <w:rFonts w:ascii="Times New Roman" w:hAnsi="Times New Roman" w:cs="Times New Roman"/>
          <w:sz w:val="24"/>
          <w:szCs w:val="24"/>
        </w:rPr>
        <w:t>3.08.2023)</w:t>
      </w:r>
    </w:p>
    <w:p w:rsidR="0036731F" w:rsidRPr="000E4187" w:rsidRDefault="008C7DA7" w:rsidP="000E4187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0E9C">
        <w:rPr>
          <w:rFonts w:ascii="Times New Roman" w:hAnsi="Times New Roman" w:cs="Times New Roman"/>
          <w:sz w:val="24"/>
          <w:szCs w:val="24"/>
        </w:rPr>
        <w:t xml:space="preserve">Створена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інвестиційна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платформа для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. </w:t>
      </w:r>
      <w:r w:rsidRPr="007748FF">
        <w:rPr>
          <w:rFonts w:ascii="Times New Roman" w:hAnsi="Times New Roman" w:cs="Times New Roman"/>
          <w:caps/>
          <w:sz w:val="24"/>
          <w:szCs w:val="24"/>
          <w:lang w:val="en-US"/>
        </w:rPr>
        <w:t>asde</w:t>
      </w:r>
      <w:r w:rsidRPr="00232C35">
        <w:rPr>
          <w:rFonts w:ascii="Times New Roman" w:hAnsi="Times New Roman" w:cs="Times New Roman"/>
          <w:caps/>
          <w:sz w:val="24"/>
          <w:szCs w:val="24"/>
          <w:lang w:val="en-US"/>
        </w:rPr>
        <w:t>.</w:t>
      </w:r>
      <w:r w:rsidRPr="00232C35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hyperlink r:id="rId10" w:history="1">
        <w:r w:rsidRPr="00232C3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https://asde.com.ua/news</w:t>
        </w:r>
      </w:hyperlink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2C3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20E9C">
        <w:rPr>
          <w:rFonts w:ascii="Times New Roman" w:hAnsi="Times New Roman" w:cs="Times New Roman"/>
          <w:sz w:val="24"/>
          <w:szCs w:val="24"/>
        </w:rPr>
        <w:t>дата</w:t>
      </w:r>
      <w:r w:rsidRPr="00232C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232C3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A324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232C35">
        <w:rPr>
          <w:rFonts w:ascii="Times New Roman" w:hAnsi="Times New Roman" w:cs="Times New Roman"/>
          <w:sz w:val="24"/>
          <w:szCs w:val="24"/>
          <w:lang w:val="en-US"/>
        </w:rPr>
        <w:t>3.08.2023)</w:t>
      </w:r>
    </w:p>
    <w:sectPr w:rsidR="0036731F" w:rsidRPr="000E4187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12A"/>
    <w:multiLevelType w:val="hybridMultilevel"/>
    <w:tmpl w:val="B0E24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4C60D0"/>
    <w:multiLevelType w:val="hybridMultilevel"/>
    <w:tmpl w:val="CB3E97EC"/>
    <w:lvl w:ilvl="0" w:tplc="8DC2D5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FAC"/>
    <w:rsid w:val="000178E2"/>
    <w:rsid w:val="000649C4"/>
    <w:rsid w:val="000A2070"/>
    <w:rsid w:val="000C2A52"/>
    <w:rsid w:val="000E4187"/>
    <w:rsid w:val="0010365D"/>
    <w:rsid w:val="00107E7A"/>
    <w:rsid w:val="00112018"/>
    <w:rsid w:val="001E102D"/>
    <w:rsid w:val="00213703"/>
    <w:rsid w:val="00232C35"/>
    <w:rsid w:val="00255B30"/>
    <w:rsid w:val="00262E18"/>
    <w:rsid w:val="00320E9C"/>
    <w:rsid w:val="0033573E"/>
    <w:rsid w:val="0036731F"/>
    <w:rsid w:val="003A5569"/>
    <w:rsid w:val="003C62D0"/>
    <w:rsid w:val="003E19F7"/>
    <w:rsid w:val="0044728F"/>
    <w:rsid w:val="004D3889"/>
    <w:rsid w:val="004D54D3"/>
    <w:rsid w:val="004D6118"/>
    <w:rsid w:val="004E417B"/>
    <w:rsid w:val="004F07ED"/>
    <w:rsid w:val="00512927"/>
    <w:rsid w:val="005178B5"/>
    <w:rsid w:val="00530D47"/>
    <w:rsid w:val="005A4455"/>
    <w:rsid w:val="006203C9"/>
    <w:rsid w:val="006417B0"/>
    <w:rsid w:val="006D6F9A"/>
    <w:rsid w:val="0072592B"/>
    <w:rsid w:val="007748FF"/>
    <w:rsid w:val="007D24B2"/>
    <w:rsid w:val="00815889"/>
    <w:rsid w:val="008A3247"/>
    <w:rsid w:val="008C7DA7"/>
    <w:rsid w:val="008E32F5"/>
    <w:rsid w:val="00915226"/>
    <w:rsid w:val="00920ABE"/>
    <w:rsid w:val="0093083E"/>
    <w:rsid w:val="00973116"/>
    <w:rsid w:val="009E1651"/>
    <w:rsid w:val="00A47CAC"/>
    <w:rsid w:val="00A64BC0"/>
    <w:rsid w:val="00B324E0"/>
    <w:rsid w:val="00B415C7"/>
    <w:rsid w:val="00B64FAC"/>
    <w:rsid w:val="00BB631A"/>
    <w:rsid w:val="00BC3DCD"/>
    <w:rsid w:val="00C34923"/>
    <w:rsid w:val="00C928CB"/>
    <w:rsid w:val="00CA3222"/>
    <w:rsid w:val="00D04B16"/>
    <w:rsid w:val="00D77C65"/>
    <w:rsid w:val="00DB04EB"/>
    <w:rsid w:val="00DB0749"/>
    <w:rsid w:val="00DF4414"/>
    <w:rsid w:val="00EF34D9"/>
    <w:rsid w:val="00F12DF3"/>
    <w:rsid w:val="00FA6FAA"/>
    <w:rsid w:val="00FB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6417B0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6417B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basedOn w:val="a"/>
    <w:uiPriority w:val="34"/>
    <w:qFormat/>
    <w:rsid w:val="00B41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u.gov.ua/timeline/Infrastrukturni-proek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7705-84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omelchenko@mdu.in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.omelchenko@mdu.in.ua" TargetMode="External"/><Relationship Id="rId10" Type="http://schemas.openxmlformats.org/officeDocument/2006/relationships/hyperlink" Target="https://asde.com.ua/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ravda.com.ua/columns/2022/09/7/6912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АЛЛО</cp:lastModifiedBy>
  <cp:revision>11</cp:revision>
  <dcterms:created xsi:type="dcterms:W3CDTF">2023-10-05T11:05:00Z</dcterms:created>
  <dcterms:modified xsi:type="dcterms:W3CDTF">2023-11-07T09:11:00Z</dcterms:modified>
</cp:coreProperties>
</file>