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7DF1E" w14:textId="0E41F095" w:rsidR="00E132B8" w:rsidRPr="00E132B8" w:rsidRDefault="00E27246" w:rsidP="00E132B8">
      <w:pPr>
        <w:spacing w:after="0"/>
        <w:rPr>
          <w:rFonts w:cs="Times New Roman"/>
          <w:b/>
          <w:bCs/>
          <w:iCs/>
          <w:sz w:val="24"/>
          <w:szCs w:val="24"/>
        </w:rPr>
      </w:pPr>
      <w:r w:rsidRPr="0058710D">
        <w:rPr>
          <w:rFonts w:cs="Times New Roman"/>
          <w:color w:val="000000"/>
          <w:sz w:val="24"/>
          <w:szCs w:val="24"/>
        </w:rPr>
        <w:t>УДК</w:t>
      </w:r>
      <w:r w:rsidR="00C95199" w:rsidRPr="00C95199">
        <w:t xml:space="preserve"> </w:t>
      </w:r>
      <w:r w:rsidR="00C95199" w:rsidRPr="00C95199">
        <w:rPr>
          <w:rFonts w:cs="Times New Roman"/>
          <w:color w:val="000000"/>
          <w:sz w:val="24"/>
          <w:szCs w:val="24"/>
        </w:rPr>
        <w:t>330.342.146+502.1]"713"</w:t>
      </w:r>
      <w:r w:rsidR="00E132B8">
        <w:rPr>
          <w:rFonts w:cs="Times New Roman"/>
          <w:color w:val="000000"/>
          <w:sz w:val="24"/>
          <w:szCs w:val="24"/>
        </w:rPr>
        <w:tab/>
      </w:r>
      <w:r w:rsidR="00E132B8">
        <w:rPr>
          <w:rFonts w:cs="Times New Roman"/>
          <w:color w:val="000000"/>
          <w:sz w:val="24"/>
          <w:szCs w:val="24"/>
        </w:rPr>
        <w:tab/>
      </w:r>
      <w:r w:rsidR="00E132B8" w:rsidRPr="00E132B8">
        <w:rPr>
          <w:rFonts w:cs="Times New Roman"/>
          <w:sz w:val="24"/>
          <w:szCs w:val="24"/>
        </w:rPr>
        <w:t xml:space="preserve">                                </w:t>
      </w:r>
      <w:r w:rsidR="00E132B8" w:rsidRPr="00E132B8">
        <w:rPr>
          <w:rFonts w:cs="Times New Roman"/>
          <w:b/>
          <w:bCs/>
          <w:iCs/>
          <w:sz w:val="24"/>
          <w:szCs w:val="24"/>
        </w:rPr>
        <w:t>Рябоконь Іван Олександрович</w:t>
      </w:r>
      <w:r w:rsidR="00E132B8" w:rsidRPr="00E132B8">
        <w:rPr>
          <w:rFonts w:cs="Times New Roman"/>
          <w:b/>
          <w:bCs/>
          <w:iCs/>
          <w:sz w:val="24"/>
          <w:szCs w:val="24"/>
        </w:rPr>
        <w:t>,</w:t>
      </w:r>
    </w:p>
    <w:p w14:paraId="10274CC1" w14:textId="77777777" w:rsidR="00E132B8" w:rsidRPr="00E132B8" w:rsidRDefault="00E132B8" w:rsidP="00E132B8">
      <w:pPr>
        <w:spacing w:after="0"/>
        <w:jc w:val="right"/>
        <w:rPr>
          <w:rFonts w:cs="Times New Roman"/>
          <w:b/>
          <w:bCs/>
          <w:iCs/>
          <w:sz w:val="24"/>
          <w:szCs w:val="24"/>
        </w:rPr>
      </w:pPr>
      <w:r w:rsidRPr="00E132B8">
        <w:rPr>
          <w:rFonts w:cs="Times New Roman"/>
          <w:b/>
          <w:bCs/>
          <w:iCs/>
          <w:sz w:val="24"/>
          <w:szCs w:val="24"/>
        </w:rPr>
        <w:t xml:space="preserve">кандидат економічних наук, доцент, </w:t>
      </w:r>
    </w:p>
    <w:p w14:paraId="17D49BBA" w14:textId="77777777" w:rsidR="00E132B8" w:rsidRPr="00E132B8" w:rsidRDefault="00E132B8" w:rsidP="00E132B8">
      <w:pPr>
        <w:spacing w:after="0"/>
        <w:jc w:val="right"/>
        <w:rPr>
          <w:rFonts w:cs="Times New Roman"/>
          <w:b/>
          <w:bCs/>
          <w:sz w:val="24"/>
          <w:szCs w:val="24"/>
          <w:lang w:val="ru-RU" w:eastAsia="uk-UA" w:bidi="uk-UA"/>
        </w:rPr>
      </w:pPr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доцент </w:t>
      </w: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кафедри</w:t>
      </w:r>
      <w:proofErr w:type="spellEnd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</w:t>
      </w: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соціоекономіки</w:t>
      </w:r>
      <w:proofErr w:type="spellEnd"/>
    </w:p>
    <w:p w14:paraId="1ECE04C8" w14:textId="609A3AF4" w:rsidR="00E132B8" w:rsidRPr="00E132B8" w:rsidRDefault="00E132B8" w:rsidP="00E132B8">
      <w:pPr>
        <w:spacing w:after="0"/>
        <w:jc w:val="right"/>
        <w:rPr>
          <w:rFonts w:cs="Times New Roman"/>
          <w:b/>
          <w:bCs/>
          <w:iCs/>
          <w:sz w:val="24"/>
          <w:szCs w:val="24"/>
        </w:rPr>
      </w:pPr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та </w:t>
      </w: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управління</w:t>
      </w:r>
      <w:proofErr w:type="spellEnd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персоналом</w:t>
      </w:r>
      <w:r w:rsidRPr="00E132B8">
        <w:rPr>
          <w:rFonts w:cs="Times New Roman"/>
          <w:b/>
          <w:bCs/>
          <w:iCs/>
          <w:sz w:val="24"/>
          <w:szCs w:val="24"/>
        </w:rPr>
        <w:t xml:space="preserve"> </w:t>
      </w:r>
    </w:p>
    <w:p w14:paraId="516B20AA" w14:textId="77777777" w:rsidR="00E132B8" w:rsidRPr="00E132B8" w:rsidRDefault="00E132B8" w:rsidP="00E132B8">
      <w:pPr>
        <w:spacing w:after="0"/>
        <w:jc w:val="right"/>
        <w:rPr>
          <w:rFonts w:cs="Times New Roman"/>
          <w:b/>
          <w:bCs/>
          <w:sz w:val="24"/>
          <w:szCs w:val="24"/>
          <w:lang w:val="ru-RU" w:eastAsia="uk-UA" w:bidi="uk-UA"/>
        </w:rPr>
      </w:pP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Київський</w:t>
      </w:r>
      <w:proofErr w:type="spellEnd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</w:t>
      </w: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національний</w:t>
      </w:r>
      <w:proofErr w:type="spellEnd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</w:t>
      </w: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економічний</w:t>
      </w:r>
      <w:proofErr w:type="spellEnd"/>
    </w:p>
    <w:p w14:paraId="5A56A6EC" w14:textId="77777777" w:rsidR="00E132B8" w:rsidRPr="00E132B8" w:rsidRDefault="00E132B8" w:rsidP="00E132B8">
      <w:pPr>
        <w:spacing w:after="0"/>
        <w:jc w:val="right"/>
        <w:rPr>
          <w:rFonts w:cs="Times New Roman"/>
          <w:b/>
          <w:bCs/>
          <w:sz w:val="24"/>
          <w:szCs w:val="24"/>
          <w:lang w:val="ru-RU" w:eastAsia="uk-UA" w:bidi="uk-UA"/>
        </w:rPr>
      </w:pPr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             </w:t>
      </w:r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ab/>
      </w:r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</w:t>
      </w:r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</w:t>
      </w: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університет</w:t>
      </w:r>
      <w:proofErr w:type="spellEnd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</w:t>
      </w:r>
      <w:proofErr w:type="spellStart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>імені</w:t>
      </w:r>
      <w:proofErr w:type="spellEnd"/>
      <w:r w:rsidRPr="00E132B8">
        <w:rPr>
          <w:rFonts w:cs="Times New Roman"/>
          <w:b/>
          <w:bCs/>
          <w:sz w:val="24"/>
          <w:szCs w:val="24"/>
          <w:lang w:val="ru-RU" w:eastAsia="uk-UA" w:bidi="uk-UA"/>
        </w:rPr>
        <w:t xml:space="preserve"> Вадима Гетьмана</w:t>
      </w:r>
    </w:p>
    <w:p w14:paraId="4BC605BD" w14:textId="66EFEE34" w:rsidR="00E132B8" w:rsidRPr="00E132B8" w:rsidRDefault="00E132B8" w:rsidP="00E132B8">
      <w:pPr>
        <w:spacing w:after="0"/>
        <w:jc w:val="right"/>
        <w:rPr>
          <w:rFonts w:cs="Times New Roman"/>
          <w:iCs/>
          <w:sz w:val="24"/>
          <w:szCs w:val="24"/>
        </w:rPr>
      </w:pPr>
      <w:r w:rsidRPr="00E132B8">
        <w:t xml:space="preserve"> </w:t>
      </w:r>
      <w:hyperlink r:id="rId7" w:history="1"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en-US"/>
          </w:rPr>
          <w:t>ivan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ru-RU"/>
          </w:rPr>
          <w:t>.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en-US"/>
          </w:rPr>
          <w:t>ryabokon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ru-RU"/>
          </w:rPr>
          <w:t>@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en-US"/>
          </w:rPr>
          <w:t>kneu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ru-RU"/>
          </w:rPr>
          <w:t>.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en-US"/>
          </w:rPr>
          <w:t>edu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ru-RU"/>
          </w:rPr>
          <w:t>.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  <w:lang w:val="en-US"/>
          </w:rPr>
          <w:t>u</w:t>
        </w:r>
        <w:r w:rsidRPr="00E132B8">
          <w:rPr>
            <w:rStyle w:val="a3"/>
            <w:rFonts w:cs="Times New Roman"/>
            <w:iCs/>
            <w:color w:val="auto"/>
            <w:sz w:val="24"/>
            <w:szCs w:val="24"/>
          </w:rPr>
          <w:t>a</w:t>
        </w:r>
      </w:hyperlink>
      <w:r w:rsidRPr="00E132B8">
        <w:rPr>
          <w:rFonts w:cs="Times New Roman"/>
          <w:iCs/>
          <w:sz w:val="24"/>
          <w:szCs w:val="24"/>
        </w:rPr>
        <w:t xml:space="preserve">  </w:t>
      </w:r>
    </w:p>
    <w:p w14:paraId="06D6FD34" w14:textId="5C2D06A1" w:rsidR="00E132B8" w:rsidRPr="00E132B8" w:rsidRDefault="00E132B8" w:rsidP="00E132B8">
      <w:pPr>
        <w:spacing w:after="0"/>
        <w:jc w:val="right"/>
        <w:rPr>
          <w:rStyle w:val="a3"/>
          <w:color w:val="auto"/>
        </w:rPr>
      </w:pPr>
      <w:hyperlink r:id="rId8" w:history="1">
        <w:r w:rsidRPr="00E132B8">
          <w:rPr>
            <w:rStyle w:val="a3"/>
            <w:rFonts w:cs="Times New Roman"/>
            <w:iCs/>
            <w:color w:val="auto"/>
            <w:sz w:val="24"/>
            <w:szCs w:val="24"/>
          </w:rPr>
          <w:t>https://orcid.org/0000-0002-2005-6576</w:t>
        </w:r>
      </w:hyperlink>
    </w:p>
    <w:p w14:paraId="3EB6CF1A" w14:textId="73D7AB92" w:rsidR="00E132B8" w:rsidRPr="00E132B8" w:rsidRDefault="00E132B8" w:rsidP="00A532E7">
      <w:pPr>
        <w:tabs>
          <w:tab w:val="right" w:pos="9638"/>
        </w:tabs>
        <w:spacing w:before="100" w:beforeAutospacing="1" w:after="100" w:afterAutospacing="1"/>
        <w:rPr>
          <w:rFonts w:cs="Times New Roman"/>
          <w:b/>
          <w:bCs/>
          <w:sz w:val="24"/>
          <w:szCs w:val="24"/>
          <w:lang w:eastAsia="uk-UA" w:bidi="uk-UA"/>
        </w:rPr>
      </w:pPr>
      <w:r w:rsidRPr="00E132B8">
        <w:rPr>
          <w:rFonts w:cs="Times New Roman"/>
          <w:sz w:val="24"/>
          <w:szCs w:val="24"/>
          <w:lang w:val="en-US"/>
        </w:rPr>
        <w:t xml:space="preserve"> </w:t>
      </w:r>
    </w:p>
    <w:p w:rsidR="00892A93" w:rsidRPr="00E132B8" w:rsidRDefault="00892A93" w:rsidP="00A27256">
      <w:pPr>
        <w:jc w:val="center"/>
        <w:rPr>
          <w:rFonts w:cs="Times New Roman"/>
          <w:caps/>
          <w:sz w:val="24"/>
          <w:szCs w:val="24"/>
        </w:rPr>
      </w:pPr>
      <w:r w:rsidRPr="00E132B8">
        <w:rPr>
          <w:rStyle w:val="a8"/>
          <w:rFonts w:cs="Times New Roman"/>
          <w:caps/>
          <w:sz w:val="24"/>
          <w:szCs w:val="24"/>
        </w:rPr>
        <w:t>Соціально-економічні та екологічні права людини в умовах поствоєнного відновлення: гарантії та напрями забезпечення</w:t>
      </w:r>
    </w:p>
    <w:p w:rsidR="00444881" w:rsidRPr="00E132B8" w:rsidRDefault="009049B5" w:rsidP="00A27256">
      <w:pPr>
        <w:pStyle w:val="a4"/>
        <w:spacing w:before="100" w:beforeAutospacing="1" w:after="100" w:afterAutospacing="1"/>
        <w:jc w:val="center"/>
        <w:rPr>
          <w:rFonts w:eastAsia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E132B8">
        <w:rPr>
          <w:rFonts w:cs="Times New Roman"/>
          <w:b/>
          <w:bCs/>
          <w:caps/>
          <w:sz w:val="24"/>
          <w:szCs w:val="24"/>
          <w:lang w:eastAsia="uk-UA" w:bidi="uk-UA"/>
        </w:rPr>
        <w:t>SOCIAL, ECONOMIC, AND ENVIRONMENTAL HUMAN RIGHTS UNDER CONDITIONS OF POST-WAR RECOVERY: GUARANTEES AND DIRECTIONS OF ENSURING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E132B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Анотація. </w:t>
      </w:r>
      <w:r w:rsidR="003646D3" w:rsidRPr="00E132B8">
        <w:rPr>
          <w:rFonts w:cs="Times New Roman"/>
          <w:sz w:val="24"/>
          <w:szCs w:val="24"/>
        </w:rPr>
        <w:t>Р</w:t>
      </w:r>
      <w:r w:rsidRPr="00E132B8">
        <w:rPr>
          <w:rFonts w:cs="Times New Roman"/>
          <w:sz w:val="24"/>
          <w:szCs w:val="24"/>
        </w:rPr>
        <w:t xml:space="preserve">озглянуто проблеми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забезпечення </w:t>
      </w:r>
      <w:bookmarkStart w:id="0" w:name="_Hlk128263396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соціально-економічних та екологічних прав </w:t>
      </w:r>
      <w:bookmarkEnd w:id="0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людини</w:t>
      </w:r>
      <w:r w:rsidRPr="00E132B8">
        <w:rPr>
          <w:rFonts w:cs="Times New Roman"/>
          <w:sz w:val="24"/>
          <w:szCs w:val="24"/>
        </w:rPr>
        <w:t xml:space="preserve">. Аналізуються можливі напрямки вирішення окресленої проблеми </w:t>
      </w:r>
      <w:r w:rsidR="00323D7C" w:rsidRPr="00E132B8">
        <w:rPr>
          <w:rStyle w:val="a8"/>
          <w:rFonts w:cs="Times New Roman"/>
          <w:b w:val="0"/>
          <w:bCs w:val="0"/>
          <w:sz w:val="24"/>
          <w:szCs w:val="24"/>
        </w:rPr>
        <w:t xml:space="preserve">в умовах </w:t>
      </w:r>
      <w:bookmarkStart w:id="1" w:name="_Hlk150021737"/>
      <w:proofErr w:type="spellStart"/>
      <w:r w:rsidR="00323D7C" w:rsidRPr="00E132B8">
        <w:rPr>
          <w:rStyle w:val="a8"/>
          <w:rFonts w:cs="Times New Roman"/>
          <w:b w:val="0"/>
          <w:bCs w:val="0"/>
          <w:sz w:val="24"/>
          <w:szCs w:val="24"/>
        </w:rPr>
        <w:t>поствоєнного</w:t>
      </w:r>
      <w:proofErr w:type="spellEnd"/>
      <w:r w:rsidR="00323D7C" w:rsidRPr="00E132B8">
        <w:rPr>
          <w:rStyle w:val="a8"/>
          <w:rFonts w:cs="Times New Roman"/>
          <w:b w:val="0"/>
          <w:bCs w:val="0"/>
          <w:sz w:val="24"/>
          <w:szCs w:val="24"/>
        </w:rPr>
        <w:t xml:space="preserve"> відновлення</w:t>
      </w:r>
      <w:bookmarkEnd w:id="1"/>
      <w:r w:rsidRPr="00E132B8">
        <w:rPr>
          <w:rFonts w:cs="Times New Roman"/>
          <w:b/>
          <w:bCs/>
          <w:sz w:val="24"/>
          <w:szCs w:val="24"/>
        </w:rPr>
        <w:t>.</w:t>
      </w:r>
      <w:r w:rsidRPr="00E132B8">
        <w:rPr>
          <w:rFonts w:cs="Times New Roman"/>
          <w:sz w:val="24"/>
          <w:szCs w:val="24"/>
        </w:rPr>
        <w:t xml:space="preserve"> Подано </w:t>
      </w:r>
      <w:bookmarkStart w:id="2" w:name="_Hlk128262764"/>
      <w:r w:rsidRPr="00E132B8">
        <w:rPr>
          <w:rFonts w:cs="Times New Roman"/>
          <w:sz w:val="24"/>
          <w:szCs w:val="24"/>
        </w:rPr>
        <w:t xml:space="preserve">напрями та заходи щодо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забезпечення гарантій дотримання соціально-економічних та екологічних прав людини</w:t>
      </w:r>
      <w:bookmarkEnd w:id="2"/>
      <w:r w:rsidRPr="00E132B8">
        <w:rPr>
          <w:rFonts w:cs="Times New Roman"/>
          <w:sz w:val="24"/>
          <w:szCs w:val="24"/>
        </w:rPr>
        <w:t>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cs="Times New Roman"/>
          <w:b/>
          <w:bCs/>
          <w:sz w:val="24"/>
          <w:szCs w:val="24"/>
        </w:rPr>
        <w:t xml:space="preserve">Ключові слова: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соціально-економічні права, екологічні права, </w:t>
      </w:r>
      <w:proofErr w:type="spellStart"/>
      <w:r w:rsidR="00323D7C" w:rsidRPr="00E132B8">
        <w:rPr>
          <w:rFonts w:eastAsia="Times New Roman" w:cs="Times New Roman"/>
          <w:kern w:val="0"/>
          <w:sz w:val="24"/>
          <w:szCs w:val="24"/>
          <w14:ligatures w14:val="none"/>
        </w:rPr>
        <w:t>поствоєнне</w:t>
      </w:r>
      <w:proofErr w:type="spellEnd"/>
      <w:r w:rsidR="00323D7C"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відновлення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, базові потреби</w:t>
      </w:r>
      <w:r w:rsidR="00216C4E" w:rsidRPr="00E132B8">
        <w:rPr>
          <w:rFonts w:eastAsia="Times New Roman" w:cs="Times New Roman"/>
          <w:kern w:val="0"/>
          <w:sz w:val="24"/>
          <w:szCs w:val="24"/>
          <w14:ligatures w14:val="none"/>
        </w:rPr>
        <w:t>, гарантії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:rsidR="003646D3" w:rsidRPr="00E132B8" w:rsidRDefault="003646D3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</w:pPr>
      <w:r w:rsidRPr="00E132B8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Abstract.</w:t>
      </w:r>
      <w:r w:rsidRPr="00E132B8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9049B5" w:rsidRPr="00E132B8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The problems of ensuring social, economic and environmental human rights are considered. Possible ways of solving this problem in the context of post-war reconstruction are analyzed. The author presents directions and measures to ensure guarantees of observance of socio-economic and environmental human rights.</w:t>
      </w:r>
    </w:p>
    <w:p w:rsidR="003646D3" w:rsidRPr="00E132B8" w:rsidRDefault="003646D3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E132B8">
        <w:rPr>
          <w:rFonts w:eastAsia="Times New Roman" w:cs="Times New Roman"/>
          <w:b/>
          <w:bCs/>
          <w:kern w:val="0"/>
          <w:sz w:val="24"/>
          <w:szCs w:val="24"/>
          <w:lang w:val="en-US"/>
          <w14:ligatures w14:val="none"/>
        </w:rPr>
        <w:t>Key words:</w:t>
      </w:r>
      <w:r w:rsidRPr="00E132B8">
        <w:rPr>
          <w:rFonts w:cs="Times New Roman"/>
          <w:sz w:val="24"/>
          <w:szCs w:val="24"/>
        </w:rPr>
        <w:t xml:space="preserve"> </w:t>
      </w:r>
      <w:r w:rsidR="009049B5" w:rsidRPr="00E132B8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social and economic rights, environmental rights, post-war recovery, basic needs, guarantees</w:t>
      </w:r>
      <w:r w:rsidRPr="00E132B8">
        <w:rPr>
          <w:rFonts w:eastAsia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E132B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Вступ.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Військова агресія Росії проти України призвела до серйозних негативних наслідків, зокрема: значних людських втрат, ушкодження екологічних систем, руйнування металургійних і хімічних підприємств, гідротехнічних споруд, забруднення водойм та ґрунту, пошкодження інфраструктури України тощо. Частина населення була вимушена покинути власні домівки. Внаслідок руйнувань значна кількість підприємств зупини</w:t>
      </w:r>
      <w:r w:rsidRPr="00E132B8"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  <w:t>ли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роботу.</w:t>
      </w:r>
      <w:r w:rsidRPr="00E132B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132B8">
        <w:rPr>
          <w:rFonts w:cs="Times New Roman"/>
          <w:sz w:val="24"/>
          <w:szCs w:val="24"/>
        </w:rPr>
        <w:t xml:space="preserve">Цей процес також призвів до зростання рівня безробіття. За оцінками Міжнародної організації праці, було втрачено близько 4,8 мільйона робочих місць, що дорівнює 30 відсоткам довоєнного рівня зайнятості в Україні [1].  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cs="Times New Roman"/>
          <w:sz w:val="24"/>
          <w:szCs w:val="24"/>
        </w:rPr>
        <w:t>Залежно від фактичного падіння рівня споживання громадян та різних сценаріїв реагування (жорстка економія, монетизація дефіциту тощо), рівень бідності може стрімко зрости, а деякі сценарії передбачають його зростання до 58 відсотків. Це призведе до радикальних змін щодо програм соціальної допомоги.</w:t>
      </w:r>
      <w:bookmarkStart w:id="3" w:name="_Hlk128184812"/>
      <w:r w:rsidRPr="00E132B8">
        <w:rPr>
          <w:rFonts w:cs="Times New Roman"/>
          <w:sz w:val="24"/>
          <w:szCs w:val="24"/>
          <w:lang w:val="ru-RU"/>
        </w:rPr>
        <w:t xml:space="preserve"> [2]</w:t>
      </w:r>
      <w:r w:rsidRPr="00E132B8">
        <w:rPr>
          <w:rFonts w:cs="Times New Roman"/>
          <w:sz w:val="24"/>
          <w:szCs w:val="24"/>
        </w:rPr>
        <w:t>.</w:t>
      </w:r>
      <w:bookmarkEnd w:id="3"/>
      <w:r w:rsidRPr="00E132B8">
        <w:rPr>
          <w:rFonts w:cs="Times New Roman"/>
          <w:sz w:val="24"/>
          <w:szCs w:val="24"/>
        </w:rPr>
        <w:t xml:space="preserve"> Постійні атаки на цивільну інфраструктуру призупинили роботу спеціальних відділів обслуговування населення.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cs="Times New Roman"/>
          <w:b/>
          <w:bCs/>
          <w:sz w:val="24"/>
          <w:szCs w:val="24"/>
        </w:rPr>
        <w:t xml:space="preserve"> Постановка проблеми.</w:t>
      </w:r>
      <w:r w:rsidRPr="00E132B8">
        <w:rPr>
          <w:rFonts w:cs="Times New Roman"/>
          <w:sz w:val="24"/>
          <w:szCs w:val="24"/>
        </w:rPr>
        <w:t xml:space="preserve">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Актуальність теми </w:t>
      </w:r>
      <w:bookmarkStart w:id="4" w:name="_Hlk128179159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забезпечення соціально-економічних та екологічних прав людини</w:t>
      </w:r>
      <w:bookmarkEnd w:id="4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полягає в тому, що це</w:t>
      </w:r>
      <w:r w:rsidRPr="00E132B8">
        <w:rPr>
          <w:rFonts w:cs="Times New Roman"/>
          <w:sz w:val="24"/>
          <w:szCs w:val="24"/>
        </w:rPr>
        <w:t xml:space="preserve">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є необхідною умовою гідного життя</w:t>
      </w:r>
      <w:r w:rsidR="00DE1B9B" w:rsidRPr="00E132B8">
        <w:rPr>
          <w:rFonts w:eastAsia="Times New Roman" w:cs="Times New Roman"/>
          <w:kern w:val="0"/>
          <w:sz w:val="24"/>
          <w:szCs w:val="24"/>
          <w:lang w:val="ru-RU"/>
          <w14:ligatures w14:val="none"/>
        </w:rPr>
        <w:t xml:space="preserve">. </w:t>
      </w:r>
      <w:r w:rsidR="00821D2C" w:rsidRPr="00E132B8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П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орушення зазначених прав може мати серйозні наслідки, включаючи загрозу життю і  вивід населення за межу бідності.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A27256" w:rsidRPr="00E132B8">
        <w:rPr>
          <w:rFonts w:eastAsia="Times New Roman" w:cs="Times New Roman"/>
          <w:kern w:val="0"/>
          <w:sz w:val="24"/>
          <w:szCs w:val="24"/>
          <w14:ligatures w14:val="none"/>
        </w:rPr>
        <w:t>На сучасний момент, через наслідки військової агресії, все частіше виникають складнощі у забезпеченні соціально-економічних прав людини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, </w:t>
      </w:r>
      <w:r w:rsidR="00332C8B" w:rsidRPr="00E132B8">
        <w:rPr>
          <w:rFonts w:eastAsia="Times New Roman" w:cs="Times New Roman"/>
          <w:kern w:val="0"/>
          <w:sz w:val="24"/>
          <w:szCs w:val="24"/>
          <w14:ligatures w14:val="none"/>
        </w:rPr>
        <w:t>а саме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:</w:t>
      </w:r>
    </w:p>
    <w:p w:rsidR="00444881" w:rsidRPr="00E132B8" w:rsidRDefault="00444881" w:rsidP="00A27256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Фундаментальн</w:t>
      </w:r>
      <w:r w:rsidR="00332C8B"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их </w:t>
      </w: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 - право на життя та право на недоторканість особи.</w:t>
      </w:r>
    </w:p>
    <w:p w:rsidR="00444881" w:rsidRPr="00E132B8" w:rsidRDefault="00444881" w:rsidP="00A27256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Право на належний рівень життя  (житло, одяг достатнє харчування тощо).   </w:t>
      </w:r>
      <w:r w:rsidRPr="00E132B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444881" w:rsidRPr="00E132B8" w:rsidRDefault="00444881" w:rsidP="00A27256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128094359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Право на соціальне забезпечення</w:t>
      </w:r>
      <w:bookmarkEnd w:id="5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(пенсії, виплати на випадок безробіття,  хвороби,  інвалідності та інші соціальні виплати і пільги);</w:t>
      </w:r>
      <w:r w:rsidRPr="00E132B8">
        <w:rPr>
          <w:rFonts w:cs="Times New Roman"/>
          <w:sz w:val="24"/>
          <w:szCs w:val="24"/>
        </w:rPr>
        <w:t xml:space="preserve"> </w:t>
      </w:r>
    </w:p>
    <w:p w:rsidR="00444881" w:rsidRPr="00E132B8" w:rsidRDefault="00444881" w:rsidP="00A27256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Право на працю,</w:t>
      </w:r>
      <w:r w:rsidRPr="00E132B8">
        <w:rPr>
          <w:rFonts w:eastAsia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як</w:t>
      </w:r>
      <w:proofErr w:type="spellStart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ість</w:t>
      </w:r>
      <w:proofErr w:type="spellEnd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трудового життя (гідні умови праці, справедливу оплату праці, безпеку на роботі, відпочинок тощо). </w:t>
      </w:r>
    </w:p>
    <w:p w:rsidR="00444881" w:rsidRPr="00E132B8" w:rsidRDefault="00444881" w:rsidP="00A27256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Право на освіту та охорону здоров'я, включаючи доступ до якісної медичної допомоги та ліків.</w:t>
      </w:r>
    </w:p>
    <w:p w:rsidR="00444881" w:rsidRPr="00E132B8" w:rsidRDefault="00444881" w:rsidP="00A27256">
      <w:pPr>
        <w:pStyle w:val="a4"/>
        <w:numPr>
          <w:ilvl w:val="0"/>
          <w:numId w:val="3"/>
        </w:num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Право на правову допомогу тощо.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Прогнозування витрат на соціальні програми є складним завданням через значну невпевненість щодо зміни доходів та вартості базових потреб в майбутньому. Витрати на програми, що залежать від матеріального стану одержувачів, можуть змінюватися в залежності від змін доходів домогосподарств та їх динаміки щодо вартості базових потреб.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Встановлений законодавчо прожитковий мінімум не відображає фактичну вартість базових потреб та потребує перегляду на етапі реконструкції з урахуванням потенційно значного впливу на потреби населення. Розрив між законодавчо встановленим прожитковим мінімумом і фактичною вартістю базових потреб був значним навіть до початку війни </w:t>
      </w:r>
      <w:r w:rsidRPr="00E132B8">
        <w:rPr>
          <w:rFonts w:cs="Times New Roman"/>
          <w:sz w:val="24"/>
          <w:szCs w:val="24"/>
          <w:lang w:val="ru-RU"/>
        </w:rPr>
        <w:t>[2]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cs="Times New Roman"/>
          <w:sz w:val="24"/>
          <w:szCs w:val="24"/>
        </w:rPr>
        <w:t xml:space="preserve">Протягом періоду </w:t>
      </w:r>
      <w:proofErr w:type="spellStart"/>
      <w:r w:rsidRPr="00E132B8">
        <w:rPr>
          <w:rFonts w:cs="Times New Roman"/>
          <w:sz w:val="24"/>
          <w:szCs w:val="24"/>
        </w:rPr>
        <w:t>по</w:t>
      </w:r>
      <w:r w:rsidR="00332C8B" w:rsidRPr="00E132B8">
        <w:rPr>
          <w:rFonts w:cs="Times New Roman"/>
          <w:sz w:val="24"/>
          <w:szCs w:val="24"/>
        </w:rPr>
        <w:t>ст</w:t>
      </w:r>
      <w:r w:rsidRPr="00E132B8">
        <w:rPr>
          <w:rFonts w:cs="Times New Roman"/>
          <w:sz w:val="24"/>
          <w:szCs w:val="24"/>
        </w:rPr>
        <w:t>воєнного</w:t>
      </w:r>
      <w:proofErr w:type="spellEnd"/>
      <w:r w:rsidRPr="00E132B8">
        <w:rPr>
          <w:rFonts w:cs="Times New Roman"/>
          <w:sz w:val="24"/>
          <w:szCs w:val="24"/>
        </w:rPr>
        <w:t xml:space="preserve"> відновлення очікується, що тимчасові заходи, такі як загальні субсидії на енергоносії, будуть скасовані, тарифи та вартість інших базових потреб зростуть, і це буде відображено у новому прожитковому мінімумі. Однак неясно, наскільки цей мінімум відповідатиме фактичному прожитковому мінімуму. Повне врахування вартості базових потреб значно вплине на витрати, оскільки очікується, що понад 70% населення матимуть доходи нижчі за фактичний прожитковий мінімум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bookmarkStart w:id="6" w:name="_Hlk128185727"/>
      <w:r w:rsidRPr="00E132B8">
        <w:rPr>
          <w:rFonts w:cs="Times New Roman"/>
          <w:sz w:val="24"/>
          <w:szCs w:val="24"/>
          <w:lang w:val="ru-RU"/>
        </w:rPr>
        <w:t>[3]</w:t>
      </w:r>
      <w:r w:rsidRPr="00E132B8">
        <w:rPr>
          <w:rFonts w:cs="Times New Roman"/>
          <w:sz w:val="24"/>
          <w:szCs w:val="24"/>
        </w:rPr>
        <w:t>.</w:t>
      </w:r>
      <w:bookmarkEnd w:id="6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Понад 80 відсотків пенсіонерів отримують виплати нижче фактичного прожиткового мінімуму [4].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Для вирішення вказаних проблем необхідно забезпечити належну нормативно-правову базу та імплементацію міжнародних договорів, що регулюють соціально-економічні та екологічні права людини. Для забезпечення екологічних прав особливу увагу необхідно приділяти організації комплексу заходів щодо своєчасного очищення забруднених територій, що є пріоритетом у профілактиці захворюваності та інвалідності. 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Забезпечення соціально-економічних та екологічних прав людини </w:t>
      </w:r>
      <w:bookmarkStart w:id="7" w:name="_Hlk128152243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в умовах </w:t>
      </w:r>
      <w:bookmarkEnd w:id="7"/>
      <w:proofErr w:type="spellStart"/>
      <w:r w:rsidR="00B96512" w:rsidRPr="00E132B8">
        <w:rPr>
          <w:rFonts w:cs="Times New Roman"/>
          <w:sz w:val="24"/>
          <w:szCs w:val="24"/>
        </w:rPr>
        <w:t>по</w:t>
      </w:r>
      <w:r w:rsidR="00332C8B" w:rsidRPr="00E132B8">
        <w:rPr>
          <w:rFonts w:cs="Times New Roman"/>
          <w:sz w:val="24"/>
          <w:szCs w:val="24"/>
        </w:rPr>
        <w:t>ст</w:t>
      </w:r>
      <w:r w:rsidR="00B96512" w:rsidRPr="00E132B8">
        <w:rPr>
          <w:rFonts w:cs="Times New Roman"/>
          <w:sz w:val="24"/>
          <w:szCs w:val="24"/>
        </w:rPr>
        <w:t>воєнного</w:t>
      </w:r>
      <w:proofErr w:type="spellEnd"/>
      <w:r w:rsidR="00B96512" w:rsidRPr="00E132B8">
        <w:rPr>
          <w:rFonts w:cs="Times New Roman"/>
          <w:sz w:val="24"/>
          <w:szCs w:val="24"/>
        </w:rPr>
        <w:t xml:space="preserve"> відновлення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може потребувати застосування різних інструментів. </w:t>
      </w:r>
      <w:bookmarkStart w:id="8" w:name="_Hlk128179478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Заходи забезпечення гарантій дотримання соціально-економічних та екологічних прав людини</w:t>
      </w:r>
      <w:bookmarkEnd w:id="8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в умовах </w:t>
      </w:r>
      <w:proofErr w:type="spellStart"/>
      <w:r w:rsidR="00B96512" w:rsidRPr="00E132B8">
        <w:rPr>
          <w:rFonts w:cs="Times New Roman"/>
          <w:sz w:val="24"/>
          <w:szCs w:val="24"/>
        </w:rPr>
        <w:t>по</w:t>
      </w:r>
      <w:r w:rsidR="00332C8B" w:rsidRPr="00E132B8">
        <w:rPr>
          <w:rFonts w:cs="Times New Roman"/>
          <w:sz w:val="24"/>
          <w:szCs w:val="24"/>
        </w:rPr>
        <w:t>ст</w:t>
      </w:r>
      <w:r w:rsidR="00B96512" w:rsidRPr="00E132B8">
        <w:rPr>
          <w:rFonts w:cs="Times New Roman"/>
          <w:sz w:val="24"/>
          <w:szCs w:val="24"/>
        </w:rPr>
        <w:t>воєнного</w:t>
      </w:r>
      <w:proofErr w:type="spellEnd"/>
      <w:r w:rsidR="00B96512" w:rsidRPr="00E132B8">
        <w:rPr>
          <w:rFonts w:cs="Times New Roman"/>
          <w:sz w:val="24"/>
          <w:szCs w:val="24"/>
        </w:rPr>
        <w:t xml:space="preserve"> відновлення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можуть здійснюватися в наступних напрямках: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Впровадження ефективної системи моніторингу та оцінки впливу </w:t>
      </w:r>
      <w:bookmarkStart w:id="9" w:name="_Hlk127913340"/>
      <w:proofErr w:type="spellStart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мілітарного</w:t>
      </w:r>
      <w:proofErr w:type="spellEnd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впливу </w:t>
      </w:r>
      <w:bookmarkEnd w:id="9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довкілля з метою виявлення найбільш проблемних зон.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Розробка та реалізація програм національного масштабу, нормативно-правових актів щодо відновлення екосистем та біорізноманіття на територіях, що зазнали </w:t>
      </w:r>
      <w:bookmarkStart w:id="10" w:name="_Hlk128151885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впливу</w:t>
      </w:r>
      <w:bookmarkEnd w:id="10"/>
      <w:r w:rsidR="00917EF2"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воєнних дій</w:t>
      </w: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, забезпечення реалізації прав на здорове довкілля та відшкодування збитків. 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Розробка та прийняття спеціальних законів та нормативно-правових актів, які забезпечать реалізацію прав людини на соціальне забезпечення, економічні гарантії. 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Застосування механізмів залучення громадськості до процесу прийняття рішень щодо охорони довкілля та зменшення </w:t>
      </w:r>
      <w:bookmarkStart w:id="11" w:name="_Hlk150023850"/>
      <w:r w:rsidR="00B96512"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негативних наслідків воєнних дій</w:t>
      </w:r>
      <w:bookmarkEnd w:id="11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на нього, включаючи публічні обговорення, консультації та інші форми участі громадськості.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cs="Times New Roman"/>
          <w:sz w:val="24"/>
          <w:szCs w:val="24"/>
        </w:rPr>
        <w:t>Співпраця з міжнародними організаціями: такими як ООН, Рада Європи, Організація з безпеки та співробітництва в Європі (ОБСЄ) тощо, які спеціалізуються на захисті прав людини і можуть надати експертну підтримку, поради та, за потреби, фінансову допомогу.</w:t>
      </w: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Розробка та запровадження спеціальної програми з відновлення природних екосистем та біорізноманіття на територіях, що зазнали </w:t>
      </w:r>
      <w:proofErr w:type="spellStart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мілітарного</w:t>
      </w:r>
      <w:proofErr w:type="spellEnd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впливу.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Встановлення чітких норм та правил для підприємств та організацій щодо поводження з наслідками воєнних дій, відходами та іншими видами забруднення навколишнього середовища.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Проведення досліджень і розробка заходів щодо зменшення впливу </w:t>
      </w:r>
      <w:r w:rsidR="009F115E"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негативних наслідків воєнних дій </w:t>
      </w: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 здоров'я населення та реалізація цих заходів.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Зміцнення системи екологічної освіти і поводження з небезпечними речовинами та підвищення рівня свідомості населення щодо екологічних проблем і заходів реагування на них.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Вдосконалення механізму опрацювання та реагування на індивідуальні скарги щодо порушень прав людини.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Забезпечення психосоціальної допомоги і консультування.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Заходи із сприяння поверненню незаконно </w:t>
      </w:r>
      <w:proofErr w:type="spellStart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переміщенних</w:t>
      </w:r>
      <w:proofErr w:type="spellEnd"/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(викрадених) з окупованих територій громадян України. </w:t>
      </w:r>
    </w:p>
    <w:p w:rsidR="00444881" w:rsidRPr="00E132B8" w:rsidRDefault="00444881" w:rsidP="00A27256">
      <w:pPr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Забезпечення відповідного фінансування та моніторингу цільового використання коштів для реалізації вищевказаних заходів шляхом створення спеціального інституціонального механізму. 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У  короткостроковій перспективі, в  період до закінчення воєнних дій, пріоритетні заходи  мають узгоджуватися з потребами громадян в екстреній підтримці, яку надають спеціальні органи і служби. 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Під час періоду відновлення необхідно розробити програми, які стимулюватимуть зайнятість та сприятимуть </w:t>
      </w:r>
      <w:proofErr w:type="spellStart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по</w:t>
      </w:r>
      <w:r w:rsidR="00332C8B" w:rsidRPr="00E132B8">
        <w:rPr>
          <w:rFonts w:eastAsia="Times New Roman" w:cs="Times New Roman"/>
          <w:kern w:val="0"/>
          <w:sz w:val="24"/>
          <w:szCs w:val="24"/>
          <w14:ligatures w14:val="none"/>
        </w:rPr>
        <w:t>ст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воєнному</w:t>
      </w:r>
      <w:proofErr w:type="spellEnd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відновленню.  В  Україні відновлення або створення нових робочих місць  потребуватиме, зокрема, додаткових витрат на компенсацію роботодавцям та інші заходи.  Щоб посилити гнучкість системи відновлення, необхідно застосовувати цифрові технології, зокрема, </w:t>
      </w:r>
      <w:r w:rsidRPr="00E132B8">
        <w:rPr>
          <w:rFonts w:cs="Times New Roman"/>
          <w:sz w:val="24"/>
          <w:szCs w:val="24"/>
        </w:rPr>
        <w:t>штучний інтелект,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хмарні та онлайн-рішення.  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Витрати на відновлення робочих місць можуть включати, зокрема,  компенсацію роботодавцям за зайнятість вразливих соціальних груп, надання допомоги для переїзду, надання допомоги з метою стимулювання </w:t>
      </w:r>
      <w:proofErr w:type="spellStart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самозайнятості</w:t>
      </w:r>
      <w:proofErr w:type="spellEnd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тощо.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Основні засади відновлення та відбудови полягають у ретельній оцінці технічних результатів та поетапному вкладенні інвестицій за попередньо визначеним пріоритетом. Крім того, необхідно створити сприятливе інституційне та нормативно-правове середовище щодо забезпечення правового захисту в умовах здійснення повоєнної трансформації.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Для забезпечення гарантій дотримання соціально-економічних та екологічних прав людини в умовах </w:t>
      </w:r>
      <w:proofErr w:type="spellStart"/>
      <w:r w:rsidR="0031087E" w:rsidRPr="00E132B8">
        <w:rPr>
          <w:rFonts w:eastAsia="Times New Roman" w:cs="Times New Roman"/>
          <w:kern w:val="0"/>
          <w:sz w:val="24"/>
          <w:szCs w:val="24"/>
          <w14:ligatures w14:val="none"/>
        </w:rPr>
        <w:t>поствоєнного</w:t>
      </w:r>
      <w:proofErr w:type="spellEnd"/>
      <w:r w:rsidR="0031087E"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відновлення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, необхідно проводити наукові дослідження, які дозволяють виявляти та розуміти сутність проблеми та подальші шляхи її розв’язання в мінливих умовах, розробити систему своєчасного реагування.   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Крім того, необхідно проводити роботу з населенням, забезпечити своєчасне надання інформації щодо прав та обов’язків. Важливо проводити роботу з урядами та міжнародними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правозахисними та громадськими організаціями для забезпечення координації дій між ними з метою забезпечення  гарантій дотримання</w:t>
      </w:r>
      <w:r w:rsidRPr="00E132B8">
        <w:rPr>
          <w:rFonts w:cs="Times New Roman"/>
          <w:sz w:val="24"/>
          <w:szCs w:val="24"/>
        </w:rPr>
        <w:t xml:space="preserve">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соціально-економічних та екологічних прав людини</w:t>
      </w:r>
      <w:r w:rsidRPr="00E132B8">
        <w:rPr>
          <w:rFonts w:cs="Times New Roman"/>
          <w:sz w:val="24"/>
          <w:szCs w:val="24"/>
        </w:rPr>
        <w:t xml:space="preserve">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в умовах </w:t>
      </w:r>
      <w:proofErr w:type="spellStart"/>
      <w:r w:rsidR="0031087E" w:rsidRPr="00E132B8">
        <w:rPr>
          <w:rStyle w:val="a8"/>
          <w:rFonts w:cs="Times New Roman"/>
          <w:sz w:val="24"/>
          <w:szCs w:val="24"/>
        </w:rPr>
        <w:t>поствоєнного</w:t>
      </w:r>
      <w:proofErr w:type="spellEnd"/>
      <w:r w:rsidR="0031087E" w:rsidRPr="00E132B8">
        <w:rPr>
          <w:rStyle w:val="a8"/>
          <w:rFonts w:cs="Times New Roman"/>
          <w:sz w:val="24"/>
          <w:szCs w:val="24"/>
        </w:rPr>
        <w:t xml:space="preserve"> відновлення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E132B8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Висновки.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Отже, представлений в статті комплекс напрямів  та заходів щодо </w:t>
      </w:r>
      <w:bookmarkStart w:id="12" w:name="_Hlk128263166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забезпечення гарантій дотримання </w:t>
      </w:r>
      <w:bookmarkStart w:id="13" w:name="_Hlk128263043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соціально-економічних та екологічних прав</w:t>
      </w:r>
      <w:bookmarkEnd w:id="13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людини </w:t>
      </w:r>
      <w:bookmarkEnd w:id="12"/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базується на існуючих методиках</w:t>
      </w:r>
      <w:r w:rsidRPr="00E132B8">
        <w:rPr>
          <w:rFonts w:cs="Times New Roman"/>
          <w:sz w:val="24"/>
          <w:szCs w:val="24"/>
        </w:rPr>
        <w:t xml:space="preserve">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міжнародних правозахисних організацій, національних систем соціального захисту, природоохоронних організацій, що покладені в основу забезпечення</w:t>
      </w:r>
      <w:r w:rsidRPr="00E132B8">
        <w:rPr>
          <w:rFonts w:cs="Times New Roman"/>
          <w:sz w:val="24"/>
          <w:szCs w:val="24"/>
        </w:rPr>
        <w:t xml:space="preserve"> гарантій дотримання соціально-економічних та екологічних прав в 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умовах </w:t>
      </w:r>
      <w:proofErr w:type="spellStart"/>
      <w:r w:rsidR="0031087E" w:rsidRPr="00E132B8">
        <w:rPr>
          <w:rFonts w:eastAsia="Times New Roman" w:cs="Times New Roman"/>
          <w:kern w:val="0"/>
          <w:sz w:val="24"/>
          <w:szCs w:val="24"/>
          <w14:ligatures w14:val="none"/>
        </w:rPr>
        <w:t>поствоєнного</w:t>
      </w:r>
      <w:proofErr w:type="spellEnd"/>
      <w:r w:rsidR="0031087E"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відновлення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. Мета подальших досліджень полягає в формуванні цілісної системи забезпечення гарантій дотримання соціально-економічних та екологічних прав людини в умовах </w:t>
      </w:r>
      <w:proofErr w:type="spellStart"/>
      <w:r w:rsidR="0031087E" w:rsidRPr="00E132B8">
        <w:rPr>
          <w:rFonts w:eastAsia="Times New Roman" w:cs="Times New Roman"/>
          <w:kern w:val="0"/>
          <w:sz w:val="24"/>
          <w:szCs w:val="24"/>
          <w14:ligatures w14:val="none"/>
        </w:rPr>
        <w:t>поствоєнного</w:t>
      </w:r>
      <w:proofErr w:type="spellEnd"/>
      <w:r w:rsidR="0031087E" w:rsidRPr="00E132B8">
        <w:rPr>
          <w:rFonts w:eastAsia="Times New Roman" w:cs="Times New Roman"/>
          <w:kern w:val="0"/>
          <w:sz w:val="24"/>
          <w:szCs w:val="24"/>
          <w14:ligatures w14:val="none"/>
        </w:rPr>
        <w:t xml:space="preserve"> відновлення</w:t>
      </w:r>
      <w:r w:rsidRPr="00E132B8">
        <w:rPr>
          <w:rFonts w:eastAsia="Times New Roman" w:cs="Times New Roman"/>
          <w:kern w:val="0"/>
          <w:sz w:val="24"/>
          <w:szCs w:val="24"/>
          <w14:ligatures w14:val="none"/>
        </w:rPr>
        <w:t>, структуризації і удосконаленні її компонентів.</w:t>
      </w:r>
    </w:p>
    <w:p w:rsidR="00444881" w:rsidRPr="00E132B8" w:rsidRDefault="00444881" w:rsidP="00A27256">
      <w:pPr>
        <w:tabs>
          <w:tab w:val="left" w:pos="1701"/>
        </w:tabs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</w:p>
    <w:p w:rsidR="00444881" w:rsidRPr="0058710D" w:rsidRDefault="00444881" w:rsidP="00A27256">
      <w:pPr>
        <w:jc w:val="center"/>
        <w:rPr>
          <w:rFonts w:cs="Times New Roman"/>
          <w:b/>
          <w:bCs/>
          <w:sz w:val="24"/>
          <w:szCs w:val="24"/>
        </w:rPr>
      </w:pPr>
      <w:r w:rsidRPr="0058710D">
        <w:rPr>
          <w:rFonts w:cs="Times New Roman"/>
          <w:b/>
          <w:bCs/>
          <w:sz w:val="24"/>
          <w:szCs w:val="24"/>
        </w:rPr>
        <w:t>Список використаних джерел.</w:t>
      </w:r>
    </w:p>
    <w:p w:rsidR="00444881" w:rsidRPr="0058710D" w:rsidRDefault="00444881" w:rsidP="00A27256">
      <w:pPr>
        <w:numPr>
          <w:ilvl w:val="0"/>
          <w:numId w:val="2"/>
        </w:numPr>
        <w:tabs>
          <w:tab w:val="clear" w:pos="720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Міжнародна організація праці, «Вплив кризи в Україні на сферу праці: попередні оцінки», Аналітична записка МОП, 2022 р.</w:t>
      </w:r>
      <w:r w:rsidRPr="0058710D">
        <w:rPr>
          <w:rFonts w:cs="Times New Roman"/>
          <w:sz w:val="24"/>
          <w:szCs w:val="24"/>
        </w:rPr>
        <w:t xml:space="preserve"> </w:t>
      </w:r>
      <w:bookmarkStart w:id="14" w:name="_Hlk128342244"/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URL:</w:t>
      </w:r>
      <w:r w:rsidRPr="0058710D">
        <w:rPr>
          <w:rFonts w:cs="Times New Roman"/>
          <w:sz w:val="24"/>
          <w:szCs w:val="24"/>
        </w:rPr>
        <w:t xml:space="preserve"> </w:t>
      </w:r>
      <w:bookmarkEnd w:id="14"/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HYPERLINK "https://www.ilo.org/wcmsp5/groups/public/---europe/---ro-geneva/documents/briefingnote/wcms_844295.pdf" </w:instrTex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https://www.ilo.org/wcmsp5/groups/public/---</w:t>
      </w:r>
      <w:proofErr w:type="spellStart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europe</w:t>
      </w:r>
      <w:proofErr w:type="spellEnd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/---</w:t>
      </w:r>
      <w:proofErr w:type="spellStart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ro-geneva</w:t>
      </w:r>
      <w:proofErr w:type="spellEnd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documents</w:t>
      </w:r>
      <w:proofErr w:type="spellEnd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briefingnote</w:t>
      </w:r>
      <w:proofErr w:type="spellEnd"/>
      <w:r w:rsidRPr="0058710D">
        <w:rPr>
          <w:rStyle w:val="a3"/>
          <w:rFonts w:eastAsia="Times New Roman" w:cs="Times New Roman"/>
          <w:kern w:val="0"/>
          <w:sz w:val="24"/>
          <w:szCs w:val="24"/>
          <w:lang w:eastAsia="ru-RU"/>
          <w14:ligatures w14:val="none"/>
        </w:rPr>
        <w:t>/wcms_844295.pdf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58710D">
        <w:rPr>
          <w:rFonts w:cs="Times New Roman"/>
          <w:sz w:val="24"/>
          <w:szCs w:val="24"/>
        </w:rPr>
        <w:t xml:space="preserve"> </w:t>
      </w:r>
      <w:bookmarkStart w:id="15" w:name="_Hlk128342261"/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(дата звернення: 27.</w:t>
      </w:r>
      <w:r w:rsidR="00912B28"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.2023).</w:t>
      </w:r>
      <w:bookmarkEnd w:id="15"/>
    </w:p>
    <w:p w:rsidR="00444881" w:rsidRPr="0058710D" w:rsidRDefault="00444881" w:rsidP="00A27256">
      <w:pPr>
        <w:numPr>
          <w:ilvl w:val="0"/>
          <w:numId w:val="2"/>
        </w:numPr>
        <w:tabs>
          <w:tab w:val="clear" w:pos="720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Міністерство фінансів України: Звіт “Швидка оцінка завданої шкоди та потреб на відновлення України”. URL:</w:t>
      </w:r>
      <w:r w:rsidRPr="0058710D">
        <w:rPr>
          <w:rFonts w:cs="Times New Roman"/>
          <w:sz w:val="24"/>
          <w:szCs w:val="24"/>
        </w:rPr>
        <w:t xml:space="preserve"> 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hyperlink r:id="rId9" w:history="1">
        <w:r w:rsidRPr="0058710D">
          <w:rPr>
            <w:rStyle w:val="a3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https://www.minregion.gov.ua/wp-content/uploads/2022/09/zvit-shvydka-oczinka-zavdanoyi-shkody-ta-potreb-na-vidnovlennya_-ukr-1.pdf</w:t>
        </w:r>
      </w:hyperlink>
      <w:r w:rsidRPr="0058710D">
        <w:rPr>
          <w:rFonts w:eastAsia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(дата звернення: 27.</w:t>
      </w:r>
      <w:r w:rsidR="0031087E"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.2023).</w:t>
      </w:r>
    </w:p>
    <w:p w:rsidR="00444881" w:rsidRPr="0058710D" w:rsidRDefault="00444881" w:rsidP="00A27256">
      <w:pPr>
        <w:numPr>
          <w:ilvl w:val="0"/>
          <w:numId w:val="2"/>
        </w:numPr>
        <w:tabs>
          <w:tab w:val="clear" w:pos="720"/>
        </w:tabs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Міністерство соціальної політики України «Фактичний розмір прожиткового мінімуму у 2021–2022 роках». URL:</w:t>
      </w:r>
      <w:r w:rsidRPr="0058710D">
        <w:rPr>
          <w:rFonts w:cs="Times New Roman"/>
          <w:sz w:val="24"/>
          <w:szCs w:val="24"/>
        </w:rPr>
        <w:t xml:space="preserve"> </w:t>
      </w:r>
      <w:hyperlink r:id="rId10" w:anchor="Text" w:history="1">
        <w:r w:rsidRPr="0058710D">
          <w:rPr>
            <w:rStyle w:val="a3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https://zakon.rada.gov.ua/laws/show/1928-20#Text</w:t>
        </w:r>
      </w:hyperlink>
      <w:r w:rsidRPr="0058710D">
        <w:rPr>
          <w:rFonts w:eastAsia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(дата звернення: 27.</w:t>
      </w:r>
      <w:r w:rsidR="00912B28"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.2023).</w:t>
      </w:r>
    </w:p>
    <w:p w:rsidR="00444881" w:rsidRPr="0058710D" w:rsidRDefault="00444881" w:rsidP="00A27256">
      <w:pPr>
        <w:numPr>
          <w:ilvl w:val="0"/>
          <w:numId w:val="2"/>
        </w:numPr>
        <w:tabs>
          <w:tab w:val="clear" w:pos="720"/>
        </w:tabs>
        <w:spacing w:after="0"/>
        <w:rPr>
          <w:rFonts w:cs="Times New Roman"/>
          <w:sz w:val="24"/>
          <w:szCs w:val="24"/>
          <w:lang w:val="ru-RU"/>
        </w:rPr>
      </w:pP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Міністерство соціальної політики України, «82 відсотки українських пенсіонерів отримують пенсію нижче реального прожиткового мінімуму – Наталія </w:t>
      </w:r>
      <w:proofErr w:type="spellStart"/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Ненюченко</w:t>
      </w:r>
      <w:proofErr w:type="spellEnd"/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». URL:</w:t>
      </w:r>
      <w:r w:rsidRPr="0058710D">
        <w:rPr>
          <w:rFonts w:cs="Times New Roman"/>
          <w:sz w:val="24"/>
          <w:szCs w:val="24"/>
        </w:rPr>
        <w:t xml:space="preserve"> </w:t>
      </w:r>
      <w:hyperlink r:id="rId11" w:history="1">
        <w:r w:rsidRPr="0058710D">
          <w:rPr>
            <w:rStyle w:val="a3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https://www.msp.gov.ua/news/18309.html</w:t>
        </w:r>
      </w:hyperlink>
      <w:r w:rsidRPr="0058710D">
        <w:rPr>
          <w:rFonts w:eastAsia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(дата звернення: 27.</w:t>
      </w:r>
      <w:r w:rsidR="0031087E"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</w:t>
      </w:r>
      <w:r w:rsidRPr="0058710D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.2023).</w:t>
      </w:r>
    </w:p>
    <w:p w:rsidR="00444881" w:rsidRPr="0058710D" w:rsidRDefault="00444881" w:rsidP="00A27256">
      <w:pPr>
        <w:rPr>
          <w:rFonts w:cs="Times New Roman"/>
          <w:sz w:val="24"/>
          <w:szCs w:val="24"/>
          <w:lang w:val="ru-RU"/>
        </w:rPr>
      </w:pPr>
    </w:p>
    <w:p w:rsidR="00444881" w:rsidRPr="0058710D" w:rsidRDefault="00444881" w:rsidP="00A27256">
      <w:pPr>
        <w:rPr>
          <w:rFonts w:cs="Times New Roman"/>
          <w:sz w:val="24"/>
          <w:szCs w:val="24"/>
          <w:lang w:val="ru-RU"/>
        </w:rPr>
      </w:pPr>
      <w:r w:rsidRPr="0058710D">
        <w:rPr>
          <w:rFonts w:cs="Times New Roman"/>
          <w:sz w:val="24"/>
          <w:szCs w:val="24"/>
        </w:rPr>
        <w:t xml:space="preserve"> </w:t>
      </w:r>
    </w:p>
    <w:p w:rsidR="004A439C" w:rsidRPr="00A27256" w:rsidRDefault="004A439C" w:rsidP="00A27256">
      <w:pPr>
        <w:rPr>
          <w:rFonts w:cs="Times New Roman"/>
          <w:sz w:val="24"/>
          <w:szCs w:val="24"/>
          <w:lang w:val="ru-RU"/>
        </w:rPr>
      </w:pPr>
    </w:p>
    <w:sectPr w:rsidR="004A439C" w:rsidRPr="00A27256" w:rsidSect="00715F17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B4CF" w14:textId="77777777" w:rsidR="0065502C" w:rsidRDefault="0065502C">
      <w:pPr>
        <w:spacing w:after="0" w:line="240" w:lineRule="auto"/>
      </w:pPr>
      <w:r>
        <w:separator/>
      </w:r>
    </w:p>
  </w:endnote>
  <w:endnote w:type="continuationSeparator" w:id="0">
    <w:p w14:paraId="2B7C40AD" w14:textId="77777777" w:rsidR="0065502C" w:rsidRDefault="0065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9731077"/>
      <w:docPartObj>
        <w:docPartGallery w:val="Page Numbers (Bottom of Page)"/>
        <w:docPartUnique/>
      </w:docPartObj>
    </w:sdtPr>
    <w:sdtContent>
      <w:p w14:paraId="576CD6C2" w14:textId="77777777" w:rsidR="0079440B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577B2A3" w14:textId="77777777" w:rsidR="0079440B" w:rsidRDefault="00794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6C27E" w14:textId="77777777" w:rsidR="0065502C" w:rsidRDefault="0065502C">
      <w:pPr>
        <w:spacing w:after="0" w:line="240" w:lineRule="auto"/>
      </w:pPr>
      <w:r>
        <w:separator/>
      </w:r>
    </w:p>
  </w:footnote>
  <w:footnote w:type="continuationSeparator" w:id="0">
    <w:p w14:paraId="7DFC83DE" w14:textId="77777777" w:rsidR="0065502C" w:rsidRDefault="0065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62E"/>
    <w:multiLevelType w:val="multilevel"/>
    <w:tmpl w:val="67FE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806327"/>
    <w:multiLevelType w:val="multilevel"/>
    <w:tmpl w:val="67FE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43E8E"/>
    <w:multiLevelType w:val="hybridMultilevel"/>
    <w:tmpl w:val="1DD255D2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90958434">
    <w:abstractNumId w:val="0"/>
  </w:num>
  <w:num w:numId="2" w16cid:durableId="1691832139">
    <w:abstractNumId w:val="1"/>
  </w:num>
  <w:num w:numId="3" w16cid:durableId="87014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81"/>
    <w:rsid w:val="000A2BDD"/>
    <w:rsid w:val="001F6AE8"/>
    <w:rsid w:val="00202C02"/>
    <w:rsid w:val="00216C4E"/>
    <w:rsid w:val="00240908"/>
    <w:rsid w:val="0031087E"/>
    <w:rsid w:val="00323D7C"/>
    <w:rsid w:val="00332C8B"/>
    <w:rsid w:val="003646D3"/>
    <w:rsid w:val="00437CF0"/>
    <w:rsid w:val="00444881"/>
    <w:rsid w:val="004A439C"/>
    <w:rsid w:val="004D3341"/>
    <w:rsid w:val="0058710D"/>
    <w:rsid w:val="0065502C"/>
    <w:rsid w:val="0070522B"/>
    <w:rsid w:val="0078148D"/>
    <w:rsid w:val="0079440B"/>
    <w:rsid w:val="00821D2C"/>
    <w:rsid w:val="00892A93"/>
    <w:rsid w:val="008C025B"/>
    <w:rsid w:val="009049B5"/>
    <w:rsid w:val="00912B28"/>
    <w:rsid w:val="00917EF2"/>
    <w:rsid w:val="009F115E"/>
    <w:rsid w:val="00A27256"/>
    <w:rsid w:val="00A532E7"/>
    <w:rsid w:val="00A90AE4"/>
    <w:rsid w:val="00B96512"/>
    <w:rsid w:val="00BB2C13"/>
    <w:rsid w:val="00C95199"/>
    <w:rsid w:val="00DB0036"/>
    <w:rsid w:val="00DE1B9B"/>
    <w:rsid w:val="00E132B8"/>
    <w:rsid w:val="00E27246"/>
    <w:rsid w:val="00F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A72C"/>
  <w15:chartTrackingRefBased/>
  <w15:docId w15:val="{B6C4E50A-BEF2-41C1-84FC-6D4A98E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8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488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4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881"/>
    <w:rPr>
      <w:lang w:val="uk-UA"/>
    </w:rPr>
  </w:style>
  <w:style w:type="character" w:styleId="a7">
    <w:name w:val="Unresolved Mention"/>
    <w:basedOn w:val="a0"/>
    <w:uiPriority w:val="99"/>
    <w:semiHidden/>
    <w:unhideWhenUsed/>
    <w:rsid w:val="003646D3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323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953-87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.ryabokon@kneu.edu.u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p.gov.ua/news/18309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928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region.gov.ua/wp-content/uploads/2022/09/zvit-shvydka-oczinka-zavdanoyi-shkody-ta-potreb-na-vidnovlennya_-ukr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 бебе</dc:creator>
  <cp:keywords/>
  <dc:description/>
  <cp:lastModifiedBy>Рябоконь Іван Олександрович</cp:lastModifiedBy>
  <cp:revision>4</cp:revision>
  <dcterms:created xsi:type="dcterms:W3CDTF">2023-11-04T19:54:00Z</dcterms:created>
  <dcterms:modified xsi:type="dcterms:W3CDTF">2023-11-06T11:03:00Z</dcterms:modified>
</cp:coreProperties>
</file>