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B2A98" w14:textId="77777777" w:rsidR="00C96947" w:rsidRPr="00C96947" w:rsidRDefault="00AC55B3" w:rsidP="00C969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9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УДК </w:t>
      </w:r>
      <w:r w:rsidR="00C96947" w:rsidRPr="00C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347.921.4</w:t>
      </w:r>
    </w:p>
    <w:p w14:paraId="1B82DCAD" w14:textId="7A5E0BEA" w:rsidR="00AC55B3" w:rsidRPr="00AC55B3" w:rsidRDefault="00AC55B3" w:rsidP="00AC55B3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C55B3">
        <w:rPr>
          <w:rFonts w:ascii="Times New Roman" w:hAnsi="Times New Roman" w:cs="Times New Roman"/>
          <w:bCs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ab/>
        <w:t xml:space="preserve">           </w:t>
      </w:r>
      <w:proofErr w:type="spellStart"/>
      <w:r w:rsidR="00145498"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Гусаров</w:t>
      </w:r>
      <w:proofErr w:type="spellEnd"/>
      <w:r w:rsidR="00145498"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К</w:t>
      </w:r>
      <w:r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остянтин </w:t>
      </w:r>
      <w:r w:rsidR="00145498"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</w:t>
      </w:r>
      <w:r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олодимирович</w:t>
      </w:r>
      <w:r w:rsidR="00145498"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</w:t>
      </w:r>
    </w:p>
    <w:p w14:paraId="106178E3" w14:textId="06589ED6" w:rsidR="00FB58EE" w:rsidRPr="00AC55B3" w:rsidRDefault="00145498" w:rsidP="00AC55B3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докт</w:t>
      </w:r>
      <w:r w:rsidR="00755002"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ор</w:t>
      </w:r>
      <w:r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юрид</w:t>
      </w:r>
      <w:r w:rsidR="00755002"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ичних</w:t>
      </w:r>
      <w:r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наук, проф</w:t>
      </w:r>
      <w:r w:rsidR="00755002"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есор</w:t>
      </w:r>
      <w:r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1AFD417F" w14:textId="733EB348" w:rsidR="00145498" w:rsidRPr="00AC55B3" w:rsidRDefault="00145498" w:rsidP="00AC55B3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завідувач кафедри цивільної юстиції та адвокатури</w:t>
      </w:r>
    </w:p>
    <w:p w14:paraId="5EF6B7C6" w14:textId="799DC4AF" w:rsidR="00145498" w:rsidRDefault="00145498" w:rsidP="00AC55B3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bookmarkStart w:id="0" w:name="_GoBack"/>
      <w:r w:rsidRPr="00AC55B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Національний юридичний університет імені Ярослава Мудрого</w:t>
      </w:r>
    </w:p>
    <w:bookmarkEnd w:id="0"/>
    <w:p w14:paraId="67A4876F" w14:textId="265E9D95" w:rsidR="00A26571" w:rsidRPr="00A26571" w:rsidRDefault="00EE0445" w:rsidP="00AC55B3">
      <w:pPr>
        <w:spacing w:after="0"/>
        <w:ind w:firstLine="709"/>
        <w:jc w:val="right"/>
        <w:rPr>
          <w:rFonts w:ascii="Arial" w:hAnsi="Arial" w:cs="Arial"/>
          <w:color w:val="003366"/>
          <w:sz w:val="24"/>
          <w:szCs w:val="24"/>
          <w:u w:val="single"/>
          <w:shd w:val="clear" w:color="auto" w:fill="FFFFFF"/>
          <w:lang w:val="uk-UA"/>
        </w:rPr>
      </w:pPr>
      <w:r>
        <w:fldChar w:fldCharType="begin"/>
      </w:r>
      <w:r w:rsidRPr="00285917">
        <w:rPr>
          <w:lang w:val="uk-UA"/>
        </w:rPr>
        <w:instrText xml:space="preserve"> </w:instrText>
      </w:r>
      <w:r>
        <w:instrText>HYPERLINK</w:instrText>
      </w:r>
      <w:r w:rsidRPr="00285917">
        <w:rPr>
          <w:lang w:val="uk-UA"/>
        </w:rPr>
        <w:instrText xml:space="preserve"> "</w:instrText>
      </w:r>
      <w:r>
        <w:instrText>mailto</w:instrText>
      </w:r>
      <w:r w:rsidRPr="00285917">
        <w:rPr>
          <w:lang w:val="uk-UA"/>
        </w:rPr>
        <w:instrText>:</w:instrText>
      </w:r>
      <w:r>
        <w:instrText>k</w:instrText>
      </w:r>
      <w:r w:rsidRPr="00285917">
        <w:rPr>
          <w:lang w:val="uk-UA"/>
        </w:rPr>
        <w:instrText>.</w:instrText>
      </w:r>
      <w:r>
        <w:instrText>v</w:instrText>
      </w:r>
      <w:r w:rsidRPr="00285917">
        <w:rPr>
          <w:lang w:val="uk-UA"/>
        </w:rPr>
        <w:instrText>.</w:instrText>
      </w:r>
      <w:r>
        <w:instrText>gusarov</w:instrText>
      </w:r>
      <w:r w:rsidRPr="00285917">
        <w:rPr>
          <w:lang w:val="uk-UA"/>
        </w:rPr>
        <w:instrText>@</w:instrText>
      </w:r>
      <w:r>
        <w:instrText>nlu</w:instrText>
      </w:r>
      <w:r w:rsidRPr="00285917">
        <w:rPr>
          <w:lang w:val="uk-UA"/>
        </w:rPr>
        <w:instrText>.</w:instrText>
      </w:r>
      <w:r>
        <w:instrText>edu</w:instrText>
      </w:r>
      <w:r w:rsidRPr="00285917">
        <w:rPr>
          <w:lang w:val="uk-UA"/>
        </w:rPr>
        <w:instrText>.</w:instrText>
      </w:r>
      <w:r>
        <w:instrText>ua</w:instrText>
      </w:r>
      <w:r w:rsidRPr="00285917">
        <w:rPr>
          <w:lang w:val="uk-UA"/>
        </w:rPr>
        <w:instrText xml:space="preserve">" </w:instrText>
      </w:r>
      <w:r>
        <w:fldChar w:fldCharType="separate"/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</w:rPr>
        <w:t>k</w:t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</w:rPr>
        <w:t>v</w:t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</w:rPr>
        <w:t>gusarov</w:t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  <w:lang w:val="uk-UA"/>
        </w:rPr>
        <w:t>@</w:t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</w:rPr>
        <w:t>nlu</w:t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</w:rPr>
        <w:t>edu</w:t>
      </w:r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  <w:proofErr w:type="spellStart"/>
      <w:r w:rsidR="00A26571" w:rsidRPr="00957524">
        <w:rPr>
          <w:rStyle w:val="a3"/>
          <w:rFonts w:ascii="Arial" w:hAnsi="Arial" w:cs="Arial"/>
          <w:sz w:val="24"/>
          <w:szCs w:val="24"/>
          <w:shd w:val="clear" w:color="auto" w:fill="FFFFFF"/>
        </w:rPr>
        <w:t>ua</w:t>
      </w:r>
      <w:proofErr w:type="spellEnd"/>
      <w:r>
        <w:rPr>
          <w:rStyle w:val="a3"/>
          <w:rFonts w:ascii="Arial" w:hAnsi="Arial" w:cs="Arial"/>
          <w:sz w:val="24"/>
          <w:szCs w:val="24"/>
          <w:shd w:val="clear" w:color="auto" w:fill="FFFFFF"/>
        </w:rPr>
        <w:fldChar w:fldCharType="end"/>
      </w:r>
    </w:p>
    <w:p w14:paraId="7B3FB991" w14:textId="43A4656C" w:rsidR="00A26571" w:rsidRPr="00A26571" w:rsidRDefault="00A26571" w:rsidP="00AC55B3">
      <w:pPr>
        <w:spacing w:after="0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ORCID</w:t>
      </w:r>
      <w:r w:rsidRPr="00C96947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A26571">
        <w:rPr>
          <w:rFonts w:ascii="Times New Roman" w:hAnsi="Times New Roman" w:cs="Times New Roman"/>
          <w:bCs/>
          <w:iCs/>
          <w:sz w:val="24"/>
          <w:szCs w:val="24"/>
          <w:u w:val="single"/>
          <w:lang w:val="uk-UA"/>
        </w:rPr>
        <w:t>0000-0001-8774-259X</w:t>
      </w:r>
    </w:p>
    <w:p w14:paraId="348F6AA1" w14:textId="77777777" w:rsidR="00AC55B3" w:rsidRPr="00AC55B3" w:rsidRDefault="00AC55B3" w:rsidP="00AC55B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5D3F66" w14:textId="77777777" w:rsidR="00AC55B3" w:rsidRPr="00AC55B3" w:rsidRDefault="00145498" w:rsidP="00AC55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C55B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ПОДВІЙНІСТЬ ПРОЦЕСУАЛЬНО-ПРАВОВОГО СТАТУСУ АДВОКАТА ТА ЕКСПЕРТА З ПИТАНЬ ПРАВА</w:t>
      </w:r>
      <w:r w:rsidR="0088497C" w:rsidRPr="00AC55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7C" w:rsidRPr="00AC55B3">
        <w:rPr>
          <w:rFonts w:ascii="Times New Roman" w:hAnsi="Times New Roman" w:cs="Times New Roman"/>
          <w:b/>
          <w:bCs/>
          <w:sz w:val="24"/>
          <w:szCs w:val="24"/>
          <w:lang w:val="uk-UA"/>
        </w:rPr>
        <w:t>У ЦИВІЛЬНОМУ ПРОЦЕСІ</w:t>
      </w:r>
    </w:p>
    <w:p w14:paraId="02594E00" w14:textId="77777777" w:rsidR="00AC55B3" w:rsidRPr="00C96947" w:rsidRDefault="00AC55B3" w:rsidP="00AC55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F4403" w14:textId="637449D2" w:rsidR="00AC55B3" w:rsidRPr="00AC55B3" w:rsidRDefault="00AC55B3" w:rsidP="00AC55B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5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3DFF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Післявоєнна розбудова України </w:t>
      </w:r>
      <w:r w:rsidR="00650E79" w:rsidRPr="00AC55B3">
        <w:rPr>
          <w:rFonts w:ascii="Times New Roman" w:hAnsi="Times New Roman" w:cs="Times New Roman"/>
          <w:sz w:val="24"/>
          <w:szCs w:val="24"/>
          <w:lang w:val="uk-UA"/>
        </w:rPr>
        <w:t>потребуватиме вдосконалення процесуальних механізмів захисту цивільних прав та охоронюваних законом інтересів. З огляду на вказану обставину потребує вдосконалення цивільної процесуальної правосуб’єктності тих чи інших суб’єктів цивільних процесуальних правовідносин</w:t>
      </w:r>
      <w:r w:rsidR="0065458B" w:rsidRPr="00AC5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0E79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533354" w14:textId="2AF069B7" w:rsidR="00AC55B3" w:rsidRPr="00AC55B3" w:rsidRDefault="00AC55B3" w:rsidP="00AC55B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0E79" w:rsidRPr="00AC55B3">
        <w:rPr>
          <w:rFonts w:ascii="Times New Roman" w:hAnsi="Times New Roman" w:cs="Times New Roman"/>
          <w:sz w:val="24"/>
          <w:szCs w:val="24"/>
          <w:lang w:val="uk-UA"/>
        </w:rPr>
        <w:t>Дана робота</w:t>
      </w:r>
      <w:r w:rsidR="007C5ABA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стосуватиметься питанням правового статусу та можливому конфлікту інтересів окремого суб’єкта цивільного процесуального права 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C5ABA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експерта з питань права.</w:t>
      </w:r>
      <w:r w:rsidR="00650E79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Аналіз його правосуб’єктності </w:t>
      </w:r>
      <w:r w:rsidR="00D92CB0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у науковій літературі, присвяченій суб’єктам цивільного процесуального права, раніше не досліджувався </w:t>
      </w:r>
      <w:r w:rsidR="00D92CB0" w:rsidRPr="00AC55B3">
        <w:rPr>
          <w:rFonts w:ascii="Times New Roman" w:hAnsi="Times New Roman" w:cs="Times New Roman"/>
          <w:sz w:val="24"/>
          <w:szCs w:val="24"/>
        </w:rPr>
        <w:t>[1]</w:t>
      </w:r>
      <w:r w:rsidR="00D92CB0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з причини відсутності протягом тривалого часу такого суб’єкта у цивільному процесуальному законодавстві.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Особливість його правового статусу полягає в тому, що він не є адвокатом</w:t>
      </w:r>
      <w:r w:rsidR="005A2532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у процесі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, але без його оцінки </w:t>
      </w:r>
      <w:r w:rsidR="00710B3A" w:rsidRPr="00AC55B3">
        <w:rPr>
          <w:rFonts w:ascii="Times New Roman" w:hAnsi="Times New Roman" w:cs="Times New Roman"/>
          <w:sz w:val="24"/>
          <w:szCs w:val="24"/>
          <w:lang w:val="uk-UA"/>
        </w:rPr>
        <w:t>надати правову оцінку з боку суду певним обставинам справи може бути проблематично.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0B3A" w:rsidRPr="00AC55B3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10B3A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новок експерта в галузі права може подаватись 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10B3A" w:rsidRPr="00AC55B3">
        <w:rPr>
          <w:rFonts w:ascii="Times New Roman" w:hAnsi="Times New Roman" w:cs="Times New Roman"/>
          <w:sz w:val="24"/>
          <w:szCs w:val="24"/>
          <w:lang w:val="uk-UA"/>
        </w:rPr>
        <w:t>часниками справи</w:t>
      </w:r>
      <w:r w:rsidR="00136572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при допуску </w:t>
      </w:r>
      <w:r w:rsidR="0072668E" w:rsidRPr="00AC55B3">
        <w:rPr>
          <w:rFonts w:ascii="Times New Roman" w:hAnsi="Times New Roman" w:cs="Times New Roman"/>
          <w:sz w:val="24"/>
          <w:szCs w:val="24"/>
          <w:lang w:val="uk-UA"/>
        </w:rPr>
        <w:t>такого експерта</w:t>
      </w:r>
      <w:r w:rsidR="00710B3A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68E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судом </w:t>
      </w:r>
      <w:r w:rsidR="00710B3A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10B3A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вох питань: </w:t>
      </w:r>
      <w:r w:rsidR="00710B3A" w:rsidRPr="00AC55B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застосування аналогії закону чи аналогії права; </w:t>
      </w:r>
      <w:bookmarkStart w:id="1" w:name="n6813"/>
      <w:bookmarkEnd w:id="1"/>
      <w:r w:rsidR="00710B3A" w:rsidRPr="00AC55B3">
        <w:rPr>
          <w:rFonts w:ascii="Times New Roman" w:hAnsi="Times New Roman" w:cs="Times New Roman"/>
          <w:sz w:val="24"/>
          <w:szCs w:val="24"/>
          <w:lang w:val="uk-UA" w:eastAsia="uk-UA"/>
        </w:rPr>
        <w:t>2) змісту норм іноземного права згідно з їх офіційним або загальноприйнятим тлумаченням, практикою застосування і доктриною у відповідній іноземній державі. Лише з цих питань.</w:t>
      </w:r>
    </w:p>
    <w:p w14:paraId="7F53713B" w14:textId="64145716" w:rsidR="00AC55B3" w:rsidRPr="00AC55B3" w:rsidRDefault="00AC55B3" w:rsidP="00AC55B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Експертом в галузі права може бути </w:t>
      </w:r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особа, яка </w:t>
      </w:r>
      <w:proofErr w:type="spellStart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науковий</w:t>
      </w:r>
      <w:proofErr w:type="spellEnd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ступінь</w:t>
      </w:r>
      <w:proofErr w:type="spellEnd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є </w:t>
      </w:r>
      <w:proofErr w:type="spellStart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визнаним</w:t>
      </w:r>
      <w:proofErr w:type="spellEnd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фахівцем</w:t>
      </w:r>
      <w:proofErr w:type="spellEnd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галузі</w:t>
      </w:r>
      <w:proofErr w:type="spellEnd"/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</w:t>
      </w:r>
      <w:r w:rsidR="0072668E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BE09B1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E09B1" w:rsidRPr="00AC55B3">
        <w:rPr>
          <w:rFonts w:ascii="Times New Roman" w:hAnsi="Times New Roman" w:cs="Times New Roman"/>
          <w:sz w:val="24"/>
          <w:szCs w:val="24"/>
          <w:lang w:val="uk-UA"/>
        </w:rPr>
        <w:t>Повторюсь, що експерт в галузі права не є адвокатом, але від його знань та кваліфікації у вка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BE09B1" w:rsidRPr="00AC55B3">
        <w:rPr>
          <w:rFonts w:ascii="Times New Roman" w:hAnsi="Times New Roman" w:cs="Times New Roman"/>
          <w:sz w:val="24"/>
          <w:szCs w:val="24"/>
          <w:lang w:val="uk-UA"/>
        </w:rPr>
        <w:t>них питаннях залежить, за великим рахунком, на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BE09B1" w:rsidRPr="00AC55B3">
        <w:rPr>
          <w:rFonts w:ascii="Times New Roman" w:hAnsi="Times New Roman" w:cs="Times New Roman"/>
          <w:sz w:val="24"/>
          <w:szCs w:val="24"/>
          <w:lang w:val="uk-UA"/>
        </w:rPr>
        <w:t>ежна оцінка с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E09B1" w:rsidRPr="00AC55B3">
        <w:rPr>
          <w:rFonts w:ascii="Times New Roman" w:hAnsi="Times New Roman" w:cs="Times New Roman"/>
          <w:sz w:val="24"/>
          <w:szCs w:val="24"/>
          <w:lang w:val="uk-UA"/>
        </w:rPr>
        <w:t>дом норм іноземного права, наприклад.</w:t>
      </w:r>
      <w:r w:rsidR="005E5435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Думаю, можна сказати, що він надає правову допомогу суду, не порушую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5E5435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незалежніс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E5435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ь останнього. Подібного роду правову допомогу виключно науково-консультативного характеру надає Верховному Судові </w:t>
      </w:r>
      <w:r w:rsidR="00C3525E" w:rsidRPr="00AC55B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E5435" w:rsidRPr="00AC55B3">
        <w:rPr>
          <w:rFonts w:ascii="Times New Roman" w:hAnsi="Times New Roman" w:cs="Times New Roman"/>
          <w:sz w:val="24"/>
          <w:szCs w:val="24"/>
          <w:lang w:val="uk-UA"/>
        </w:rPr>
        <w:t>ауков</w:t>
      </w:r>
      <w:r w:rsidR="00C3525E" w:rsidRPr="00AC55B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E5435" w:rsidRPr="00AC55B3">
        <w:rPr>
          <w:rFonts w:ascii="Times New Roman" w:hAnsi="Times New Roman" w:cs="Times New Roman"/>
          <w:sz w:val="24"/>
          <w:szCs w:val="24"/>
          <w:lang w:val="uk-UA"/>
        </w:rPr>
        <w:t>-консультат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E5435" w:rsidRPr="00AC55B3">
        <w:rPr>
          <w:rFonts w:ascii="Times New Roman" w:hAnsi="Times New Roman" w:cs="Times New Roman"/>
          <w:sz w:val="24"/>
          <w:szCs w:val="24"/>
          <w:lang w:val="uk-UA"/>
        </w:rPr>
        <w:t>вна рада при цьому судові.</w:t>
      </w:r>
    </w:p>
    <w:p w14:paraId="319BFD49" w14:textId="7B5DDD60" w:rsidR="00AC55B3" w:rsidRPr="00AC55B3" w:rsidRDefault="00AC55B3" w:rsidP="00AC55B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702F" w:rsidRPr="00AC55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F28B2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02F" w:rsidRPr="00AC55B3">
        <w:rPr>
          <w:rFonts w:ascii="Times New Roman" w:hAnsi="Times New Roman" w:cs="Times New Roman"/>
          <w:sz w:val="24"/>
          <w:szCs w:val="24"/>
          <w:lang w:val="uk-UA"/>
        </w:rPr>
        <w:t>виникає питання про можливе поєднання в одній особі декількох процесуальних та науково-дорадчих статусів.</w:t>
      </w:r>
      <w:r w:rsidR="00FE0477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Є доктор філософії чи доктор права, який здійснює адвокатську діяльність та є визнаним фахівцем у галузі практики суду ЄС, та є членом Науково-консультативної ради при Верховному Суді. </w:t>
      </w:r>
      <w:r w:rsidR="00B34049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Ратифікація </w:t>
      </w:r>
      <w:proofErr w:type="spellStart"/>
      <w:r w:rsidR="00B34049" w:rsidRPr="00AC55B3">
        <w:rPr>
          <w:rFonts w:ascii="Times New Roman" w:hAnsi="Times New Roman" w:cs="Times New Roman"/>
          <w:sz w:val="24"/>
          <w:szCs w:val="24"/>
          <w:lang w:val="uk-UA"/>
        </w:rPr>
        <w:t>Гаагської</w:t>
      </w:r>
      <w:proofErr w:type="spellEnd"/>
      <w:r w:rsidR="00B34049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конвенції про судові рішення 2019 р. Україною відбулась, та норми Конвенції почали діяти в Україні з 1 вересня цього року. </w:t>
      </w:r>
      <w:r w:rsidR="00C3525E" w:rsidRPr="00AC55B3">
        <w:rPr>
          <w:rFonts w:ascii="Times New Roman" w:hAnsi="Times New Roman" w:cs="Times New Roman"/>
          <w:sz w:val="24"/>
          <w:szCs w:val="24"/>
          <w:lang w:val="uk-UA"/>
        </w:rPr>
        <w:t>Такому</w:t>
      </w:r>
      <w:r w:rsidR="00B34049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доктору права </w:t>
      </w:r>
      <w:r w:rsidR="00C3525E" w:rsidRPr="00AC55B3">
        <w:rPr>
          <w:rFonts w:ascii="Times New Roman" w:hAnsi="Times New Roman" w:cs="Times New Roman"/>
          <w:sz w:val="24"/>
          <w:szCs w:val="24"/>
          <w:lang w:val="uk-UA"/>
        </w:rPr>
        <w:t>може бути надіслана</w:t>
      </w:r>
      <w:r w:rsidR="00B34049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ухвала суду про залучення його до цивільної справи в якості експерта в галузі права. Пізніше йому надходить запит по цій справі як до члена Науково-консультативної ради при Верховному Судові про підготовку науково-консультативного висновку. </w:t>
      </w:r>
      <w:r w:rsidR="005850D9" w:rsidRPr="00AC55B3">
        <w:rPr>
          <w:rFonts w:ascii="Times New Roman" w:hAnsi="Times New Roman" w:cs="Times New Roman"/>
          <w:sz w:val="24"/>
          <w:szCs w:val="24"/>
          <w:lang w:val="uk-UA"/>
        </w:rPr>
        <w:t>Можливо, він ще приймав участь як адвокат сторони по цій справі.</w:t>
      </w:r>
    </w:p>
    <w:p w14:paraId="53C8C2E0" w14:textId="04FC12E0" w:rsidR="00AC55B3" w:rsidRPr="00AC55B3" w:rsidRDefault="00AC55B3" w:rsidP="00AC55B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50D9" w:rsidRPr="007B7E00">
        <w:rPr>
          <w:rFonts w:ascii="Times New Roman" w:hAnsi="Times New Roman" w:cs="Times New Roman"/>
          <w:sz w:val="24"/>
          <w:szCs w:val="24"/>
          <w:lang w:val="uk-UA"/>
        </w:rPr>
        <w:t>Що робити адвокату, експерту в галузі права та члену Науково-консультативної ради в одній особі? Чи у нього</w:t>
      </w:r>
      <w:r w:rsidR="005850D9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 конфлікт інтересів та певна заінтересованість? Вважаю, є. Але чи </w:t>
      </w:r>
      <w:r w:rsidR="005850D9" w:rsidRPr="00AC55B3">
        <w:rPr>
          <w:rFonts w:ascii="Times New Roman" w:hAnsi="Times New Roman" w:cs="Times New Roman"/>
          <w:sz w:val="24"/>
          <w:szCs w:val="24"/>
          <w:lang w:val="uk-UA"/>
        </w:rPr>
        <w:lastRenderedPageBreak/>
        <w:t>зобов’язаний він заявляти самовідвід, чи буде його участь у справі в якості іншого суб’єкта перепоною для участі в іншому процесуальному статусі? Вважаю, ні.</w:t>
      </w:r>
    </w:p>
    <w:p w14:paraId="694A74ED" w14:textId="5B02ABC7" w:rsidR="00AC55B3" w:rsidRPr="00AC55B3" w:rsidRDefault="00AC55B3" w:rsidP="00AC55B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352F" w:rsidRPr="00AC55B3">
        <w:rPr>
          <w:rFonts w:ascii="Times New Roman" w:hAnsi="Times New Roman" w:cs="Times New Roman"/>
          <w:sz w:val="24"/>
          <w:szCs w:val="24"/>
          <w:lang w:val="uk-UA"/>
        </w:rPr>
        <w:t xml:space="preserve">Як експерт з питань права він справі </w:t>
      </w:r>
      <w:proofErr w:type="spellStart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відмовитися</w:t>
      </w:r>
      <w:proofErr w:type="spellEnd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участі</w:t>
      </w:r>
      <w:proofErr w:type="spellEnd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судовому </w:t>
      </w:r>
      <w:proofErr w:type="spellStart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процесі</w:t>
      </w:r>
      <w:proofErr w:type="spellEnd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лише </w:t>
      </w:r>
      <w:proofErr w:type="spellStart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якщо</w:t>
      </w:r>
      <w:proofErr w:type="spellEnd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він</w:t>
      </w:r>
      <w:proofErr w:type="spellEnd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володіє</w:t>
      </w:r>
      <w:proofErr w:type="spellEnd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відповідними</w:t>
      </w:r>
      <w:proofErr w:type="spellEnd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знаннями</w:t>
      </w:r>
      <w:proofErr w:type="spellEnd"/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Знаннями він володіє. Він і доктор наук, і </w:t>
      </w:r>
      <w:r w:rsidR="00C3525E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наукові </w:t>
      </w:r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публікації </w:t>
      </w:r>
      <w:r w:rsidR="00C3525E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має за профілем необхідних знань,</w:t>
      </w:r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рівень цитування по </w:t>
      </w:r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публікаціям з певної галузі права</w:t>
      </w:r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3525E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достатньо високий</w:t>
      </w:r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відвід у цивільному процесі можна заявити тільки </w:t>
      </w:r>
      <w:proofErr w:type="spellStart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судд</w:t>
      </w:r>
      <w:proofErr w:type="spellEnd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секретар</w:t>
      </w:r>
      <w:proofErr w:type="spellEnd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судового </w:t>
      </w:r>
      <w:proofErr w:type="spellStart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засідання</w:t>
      </w:r>
      <w:proofErr w:type="spellEnd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експерт</w:t>
      </w:r>
      <w:proofErr w:type="spellEnd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спеціаліст</w:t>
      </w:r>
      <w:proofErr w:type="spellEnd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перекладач</w:t>
      </w:r>
      <w:proofErr w:type="spellEnd"/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у.</w:t>
      </w:r>
      <w:r w:rsidR="00D0352F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94049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Експерта з питань права серед цього переліку немає. </w:t>
      </w:r>
      <w:r w:rsidR="00B74108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Мова іде про іншого суб’єкта – експерта з питань проведення, наприклад, почеркознавчої експертизи.</w:t>
      </w:r>
    </w:p>
    <w:p w14:paraId="3BB7BD93" w14:textId="1084CD88" w:rsidR="00AC55B3" w:rsidRPr="00AC55B3" w:rsidRDefault="00AC55B3" w:rsidP="00AC55B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="00B74108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Чи можна таку особу не допустити до участі у справі в якості </w:t>
      </w:r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представника-</w:t>
      </w:r>
      <w:r w:rsidR="00B74108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адвоката? </w:t>
      </w:r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Ні. Представником, відповідно до ст. 61 ЦПК України, не може бути суддя,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секретар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судового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засідання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експерт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спеціаліст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перекладач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свідок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помічник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судді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розглядає</w:t>
      </w:r>
      <w:proofErr w:type="spellEnd"/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справу</w:t>
      </w:r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або медіатор при проведенні медіації щодо спору</w:t>
      </w:r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000DA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Експерта з питань права </w:t>
      </w:r>
      <w:r w:rsidR="002329CB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 вказаного переліку немає.</w:t>
      </w:r>
    </w:p>
    <w:p w14:paraId="67FC50C1" w14:textId="51CDA4E2" w:rsidR="00AC55B3" w:rsidRPr="00AC55B3" w:rsidRDefault="00AC55B3" w:rsidP="00AC55B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Такій особі не можна заявити відвід як члену Науково-консультативної ради, оскільки інституту відводу членам цієї ради національним законодавством не передбачено. Так, відповідно до Положення про науково-консультативну раду при Верховному Суді (п.3.4) ч</w:t>
      </w:r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 </w:t>
      </w:r>
      <w:proofErr w:type="spellStart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Науково-консультативної</w:t>
      </w:r>
      <w:proofErr w:type="spellEnd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 не </w:t>
      </w:r>
      <w:proofErr w:type="spellStart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надавати</w:t>
      </w:r>
      <w:proofErr w:type="spellEnd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висновок</w:t>
      </w:r>
      <w:proofErr w:type="spellEnd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справі</w:t>
      </w:r>
      <w:proofErr w:type="spellEnd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spellStart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якій</w:t>
      </w:r>
      <w:proofErr w:type="spellEnd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він</w:t>
      </w:r>
      <w:proofErr w:type="spellEnd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>бере</w:t>
      </w:r>
      <w:proofErr w:type="spellEnd"/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(брав) участь.</w:t>
      </w:r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Але в якості кого </w:t>
      </w:r>
      <w:r w:rsidR="00F726DD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A17F3D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726DD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Положення не визначає, як і не визначає можливі санкції для члена ради при порушенні ним цього пункту.</w:t>
      </w:r>
    </w:p>
    <w:p w14:paraId="3A31F640" w14:textId="593B6112" w:rsidR="001826C1" w:rsidRPr="00AC55B3" w:rsidRDefault="00AC55B3" w:rsidP="00AC55B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="00F726DD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точки зору юридичної деонтології особа, про яку мова йде вище, не може в одному процесі перебувати у трьох «статусах»</w:t>
      </w:r>
      <w:r w:rsidR="001826C1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навіть у двох</w:t>
      </w:r>
      <w:r w:rsidR="00F726DD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Проте законодавчих перепон для цього, нажаль, не</w:t>
      </w:r>
      <w:r w:rsidR="001826C1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має</w:t>
      </w:r>
      <w:r w:rsidR="00F726DD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Про зловживання процесуальними правами тут можна і слід </w:t>
      </w:r>
      <w:r w:rsidR="00011CB8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говорити, але санкції в цих випадках не передбачені. </w:t>
      </w:r>
      <w:r w:rsidR="00CF7E53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цілому, як на мене, у найближчий час остаточно перемогти таке негативне явище, як зловживання процесуальними правами, не можливо. Мені це нагадує мутуючий вірус</w:t>
      </w:r>
      <w:r w:rsidR="0088497C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хвороби </w:t>
      </w:r>
      <w:proofErr w:type="spellStart"/>
      <w:r w:rsidR="0088497C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Covid</w:t>
      </w:r>
      <w:proofErr w:type="spellEnd"/>
      <w:r w:rsidR="0088497C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-19</w:t>
      </w:r>
      <w:r w:rsidR="00CF7E53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Начебто і вакцину ві</w:t>
      </w:r>
      <w:r w:rsidR="001826C1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 w:rsidR="00CF7E53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цієї хвороби людство створило</w:t>
      </w:r>
      <w:r w:rsidR="001826C1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а вірус пристосовується до неї та знаходить способи надалі шкодити людству.</w:t>
      </w:r>
    </w:p>
    <w:p w14:paraId="5EC99DD6" w14:textId="77777777" w:rsidR="0017588F" w:rsidRPr="00AC55B3" w:rsidRDefault="0088497C" w:rsidP="00AC55B3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AC55B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Список літератури</w:t>
      </w:r>
    </w:p>
    <w:p w14:paraId="14DC214A" w14:textId="4B90A845" w:rsidR="0088497C" w:rsidRDefault="001D4248" w:rsidP="00AC55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85917">
        <w:rPr>
          <w:rFonts w:ascii="Times New Roman" w:hAnsi="Times New Roman" w:cs="Times New Roman"/>
          <w:sz w:val="24"/>
          <w:szCs w:val="24"/>
          <w:lang w:val="uk-UA"/>
        </w:rPr>
        <w:t>Комаров В.В.</w:t>
      </w:r>
      <w:r w:rsidR="0028591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5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917">
        <w:rPr>
          <w:rFonts w:ascii="Times New Roman" w:hAnsi="Times New Roman" w:cs="Times New Roman"/>
          <w:sz w:val="24"/>
          <w:szCs w:val="24"/>
          <w:lang w:val="uk-UA"/>
        </w:rPr>
        <w:t xml:space="preserve">Радченко П.І. </w:t>
      </w:r>
      <w:r w:rsidRPr="00285917">
        <w:rPr>
          <w:rFonts w:ascii="Times New Roman" w:hAnsi="Times New Roman" w:cs="Times New Roman"/>
          <w:sz w:val="24"/>
          <w:szCs w:val="24"/>
          <w:lang w:val="uk-UA"/>
        </w:rPr>
        <w:t>Цивільні процесуальні правовідносини та їх суб’єкти</w:t>
      </w:r>
      <w:r w:rsidR="002859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85917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285917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285917">
        <w:rPr>
          <w:rFonts w:ascii="Times New Roman" w:hAnsi="Times New Roman" w:cs="Times New Roman"/>
          <w:sz w:val="24"/>
          <w:szCs w:val="24"/>
          <w:lang w:val="uk-UA"/>
        </w:rPr>
        <w:t>: НМК</w:t>
      </w:r>
      <w:r w:rsidR="0028591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285917">
        <w:rPr>
          <w:rFonts w:ascii="Times New Roman" w:hAnsi="Times New Roman" w:cs="Times New Roman"/>
          <w:sz w:val="24"/>
          <w:szCs w:val="24"/>
          <w:lang w:val="uk-UA"/>
        </w:rPr>
        <w:t xml:space="preserve"> ВО</w:t>
      </w:r>
      <w:r w:rsidR="002859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85917" w:rsidRPr="002859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Мінвузи УРСР.</w:t>
      </w:r>
      <w:r w:rsidR="00285917" w:rsidRPr="002859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285917">
        <w:rPr>
          <w:rFonts w:ascii="Times New Roman" w:hAnsi="Times New Roman" w:cs="Times New Roman"/>
          <w:sz w:val="24"/>
          <w:szCs w:val="24"/>
          <w:lang w:val="uk-UA"/>
        </w:rPr>
        <w:t>1991. – 103 с.</w:t>
      </w:r>
      <w:r w:rsidR="0088497C" w:rsidRPr="00AC5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AD32947" w14:textId="77777777" w:rsidR="00285917" w:rsidRDefault="00285917" w:rsidP="00AC55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sectPr w:rsidR="00285917" w:rsidSect="00AC55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AC4"/>
    <w:multiLevelType w:val="hybridMultilevel"/>
    <w:tmpl w:val="9BF469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4B1079C"/>
    <w:multiLevelType w:val="hybridMultilevel"/>
    <w:tmpl w:val="61D0EC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2000A"/>
    <w:multiLevelType w:val="hybridMultilevel"/>
    <w:tmpl w:val="1722D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A6D75"/>
    <w:multiLevelType w:val="hybridMultilevel"/>
    <w:tmpl w:val="E77C0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60F43"/>
    <w:multiLevelType w:val="hybridMultilevel"/>
    <w:tmpl w:val="23A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C160D"/>
    <w:multiLevelType w:val="hybridMultilevel"/>
    <w:tmpl w:val="EBE66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D7446"/>
    <w:multiLevelType w:val="hybridMultilevel"/>
    <w:tmpl w:val="3E20C08A"/>
    <w:lvl w:ilvl="0" w:tplc="88302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4238E5"/>
    <w:multiLevelType w:val="hybridMultilevel"/>
    <w:tmpl w:val="057A5C62"/>
    <w:lvl w:ilvl="0" w:tplc="7B8A0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74"/>
    <w:rsid w:val="00011CB8"/>
    <w:rsid w:val="00043268"/>
    <w:rsid w:val="000868DF"/>
    <w:rsid w:val="0009371C"/>
    <w:rsid w:val="000B4F7C"/>
    <w:rsid w:val="000E64BA"/>
    <w:rsid w:val="000E7CB5"/>
    <w:rsid w:val="000F7BEC"/>
    <w:rsid w:val="00136572"/>
    <w:rsid w:val="00145498"/>
    <w:rsid w:val="001600E2"/>
    <w:rsid w:val="0017588F"/>
    <w:rsid w:val="001826C1"/>
    <w:rsid w:val="001D4248"/>
    <w:rsid w:val="00207EDB"/>
    <w:rsid w:val="002329CB"/>
    <w:rsid w:val="00285917"/>
    <w:rsid w:val="00294E74"/>
    <w:rsid w:val="00320878"/>
    <w:rsid w:val="00326CE7"/>
    <w:rsid w:val="003364D5"/>
    <w:rsid w:val="00382A40"/>
    <w:rsid w:val="003845F3"/>
    <w:rsid w:val="00397F17"/>
    <w:rsid w:val="003F28B2"/>
    <w:rsid w:val="00406453"/>
    <w:rsid w:val="00471CCF"/>
    <w:rsid w:val="004E5AF5"/>
    <w:rsid w:val="004E702F"/>
    <w:rsid w:val="004F4ADA"/>
    <w:rsid w:val="005262A3"/>
    <w:rsid w:val="005746F3"/>
    <w:rsid w:val="005850D9"/>
    <w:rsid w:val="005A2532"/>
    <w:rsid w:val="005B3D57"/>
    <w:rsid w:val="005E451C"/>
    <w:rsid w:val="005E5435"/>
    <w:rsid w:val="0062396A"/>
    <w:rsid w:val="00650E79"/>
    <w:rsid w:val="0065458B"/>
    <w:rsid w:val="00710B3A"/>
    <w:rsid w:val="0072668E"/>
    <w:rsid w:val="00752703"/>
    <w:rsid w:val="00755002"/>
    <w:rsid w:val="00794049"/>
    <w:rsid w:val="007A3DFF"/>
    <w:rsid w:val="007B7E00"/>
    <w:rsid w:val="007C5ABA"/>
    <w:rsid w:val="00835874"/>
    <w:rsid w:val="0088497C"/>
    <w:rsid w:val="00946E89"/>
    <w:rsid w:val="00965030"/>
    <w:rsid w:val="00970447"/>
    <w:rsid w:val="00981241"/>
    <w:rsid w:val="009A4067"/>
    <w:rsid w:val="00A17F3D"/>
    <w:rsid w:val="00A26571"/>
    <w:rsid w:val="00A516F9"/>
    <w:rsid w:val="00AC55B3"/>
    <w:rsid w:val="00AD6A1A"/>
    <w:rsid w:val="00B12992"/>
    <w:rsid w:val="00B16710"/>
    <w:rsid w:val="00B34049"/>
    <w:rsid w:val="00B74108"/>
    <w:rsid w:val="00B745F1"/>
    <w:rsid w:val="00BE09B1"/>
    <w:rsid w:val="00BF39F5"/>
    <w:rsid w:val="00C000DA"/>
    <w:rsid w:val="00C21821"/>
    <w:rsid w:val="00C3525E"/>
    <w:rsid w:val="00C51D5A"/>
    <w:rsid w:val="00C625EB"/>
    <w:rsid w:val="00C96947"/>
    <w:rsid w:val="00CC4F02"/>
    <w:rsid w:val="00CF7E53"/>
    <w:rsid w:val="00D0352F"/>
    <w:rsid w:val="00D92CB0"/>
    <w:rsid w:val="00DA34F6"/>
    <w:rsid w:val="00DB61EE"/>
    <w:rsid w:val="00DD274E"/>
    <w:rsid w:val="00DF3FBA"/>
    <w:rsid w:val="00E47DB4"/>
    <w:rsid w:val="00ED6D9B"/>
    <w:rsid w:val="00EE0445"/>
    <w:rsid w:val="00EF1ED7"/>
    <w:rsid w:val="00F0342C"/>
    <w:rsid w:val="00F510A6"/>
    <w:rsid w:val="00F726DD"/>
    <w:rsid w:val="00FB58EE"/>
    <w:rsid w:val="00FE0477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4BF5"/>
  <w15:docId w15:val="{1B3AFF65-2A67-4585-BBC6-281BA54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30"/>
  </w:style>
  <w:style w:type="paragraph" w:styleId="3">
    <w:name w:val="heading 3"/>
    <w:basedOn w:val="a"/>
    <w:link w:val="30"/>
    <w:uiPriority w:val="9"/>
    <w:qFormat/>
    <w:rsid w:val="00DA3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34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8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08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6710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B1671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1671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B16710"/>
  </w:style>
  <w:style w:type="paragraph" w:customStyle="1" w:styleId="rvps2">
    <w:name w:val="rvps2"/>
    <w:basedOn w:val="a"/>
    <w:rsid w:val="00B1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B16710"/>
  </w:style>
  <w:style w:type="character" w:customStyle="1" w:styleId="rvts9">
    <w:name w:val="rvts9"/>
    <w:basedOn w:val="a0"/>
    <w:rsid w:val="00B16710"/>
  </w:style>
  <w:style w:type="paragraph" w:styleId="HTML">
    <w:name w:val="HTML Preformatted"/>
    <w:basedOn w:val="a"/>
    <w:link w:val="HTML0"/>
    <w:uiPriority w:val="99"/>
    <w:unhideWhenUsed/>
    <w:rsid w:val="00B16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67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16710"/>
  </w:style>
  <w:style w:type="character" w:customStyle="1" w:styleId="UnresolvedMention">
    <w:name w:val="Unresolved Mention"/>
    <w:basedOn w:val="a0"/>
    <w:uiPriority w:val="99"/>
    <w:semiHidden/>
    <w:unhideWhenUsed/>
    <w:rsid w:val="00F510A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A34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34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A34F6"/>
    <w:rPr>
      <w:b/>
      <w:bCs/>
    </w:rPr>
  </w:style>
  <w:style w:type="paragraph" w:styleId="ab">
    <w:name w:val="No Spacing"/>
    <w:uiPriority w:val="1"/>
    <w:qFormat/>
    <w:rsid w:val="009704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1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12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65072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9909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2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909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71825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10180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286C-80FB-405A-9309-3C405E21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Yevgen Chernykh Yevgen Chernykh</cp:lastModifiedBy>
  <cp:revision>14</cp:revision>
  <cp:lastPrinted>2021-02-11T18:15:00Z</cp:lastPrinted>
  <dcterms:created xsi:type="dcterms:W3CDTF">2023-10-09T12:50:00Z</dcterms:created>
  <dcterms:modified xsi:type="dcterms:W3CDTF">2023-11-03T06:23:00Z</dcterms:modified>
</cp:coreProperties>
</file>