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24" w:rsidRPr="001162D6" w:rsidRDefault="001162D6" w:rsidP="001162D6">
      <w:pPr>
        <w:spacing w:after="0" w:line="240" w:lineRule="auto"/>
        <w:jc w:val="center"/>
        <w:rPr>
          <w:rFonts w:ascii="Times New Roman" w:hAnsi="Times New Roman" w:cs="Times New Roman"/>
          <w:b/>
          <w:sz w:val="28"/>
          <w:szCs w:val="28"/>
          <w:lang w:val="uk-UA"/>
        </w:rPr>
      </w:pPr>
      <w:proofErr w:type="spellStart"/>
      <w:r w:rsidRPr="001162D6">
        <w:rPr>
          <w:rFonts w:ascii="Times New Roman" w:hAnsi="Times New Roman" w:cs="Times New Roman"/>
          <w:b/>
          <w:sz w:val="28"/>
          <w:szCs w:val="28"/>
          <w:lang w:val="uk-UA"/>
        </w:rPr>
        <w:t>Веселов</w:t>
      </w:r>
      <w:proofErr w:type="spellEnd"/>
      <w:r w:rsidRPr="001162D6">
        <w:rPr>
          <w:rFonts w:ascii="Times New Roman" w:hAnsi="Times New Roman" w:cs="Times New Roman"/>
          <w:b/>
          <w:sz w:val="28"/>
          <w:szCs w:val="28"/>
          <w:lang w:val="uk-UA"/>
        </w:rPr>
        <w:t xml:space="preserve"> Микола Юрійович</w:t>
      </w:r>
    </w:p>
    <w:p w:rsidR="001162D6" w:rsidRDefault="001162D6" w:rsidP="001162D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професор кафедри державно-правових дисциплін факультету № 2 Криворізького навчально-наукового інституту Донецького державного університету внутрішніх справ, доктор юридичних наук, професор</w:t>
      </w:r>
    </w:p>
    <w:p w:rsidR="001162D6" w:rsidRPr="001162D6" w:rsidRDefault="001162D6" w:rsidP="001162D6">
      <w:pPr>
        <w:spacing w:after="0" w:line="240" w:lineRule="auto"/>
        <w:jc w:val="center"/>
        <w:rPr>
          <w:rFonts w:ascii="Times New Roman" w:hAnsi="Times New Roman" w:cs="Times New Roman"/>
          <w:sz w:val="28"/>
          <w:szCs w:val="28"/>
          <w:lang w:val="uk-UA"/>
        </w:rPr>
      </w:pPr>
    </w:p>
    <w:p w:rsidR="001162D6" w:rsidRPr="00191179" w:rsidRDefault="00191179" w:rsidP="001162D6">
      <w:pPr>
        <w:spacing w:after="0" w:line="240" w:lineRule="auto"/>
        <w:jc w:val="center"/>
        <w:rPr>
          <w:rFonts w:ascii="Times New Roman" w:hAnsi="Times New Roman" w:cs="Times New Roman"/>
          <w:b/>
          <w:sz w:val="28"/>
          <w:szCs w:val="28"/>
          <w:lang w:val="uk-UA"/>
        </w:rPr>
      </w:pPr>
      <w:proofErr w:type="spellStart"/>
      <w:r w:rsidRPr="00191179">
        <w:rPr>
          <w:rFonts w:ascii="Times New Roman" w:hAnsi="Times New Roman" w:cs="Times New Roman"/>
          <w:b/>
          <w:sz w:val="28"/>
          <w:szCs w:val="28"/>
          <w:lang w:val="uk-UA"/>
        </w:rPr>
        <w:t>Чвалюк</w:t>
      </w:r>
      <w:proofErr w:type="spellEnd"/>
      <w:r w:rsidRPr="00191179">
        <w:rPr>
          <w:rFonts w:ascii="Times New Roman" w:hAnsi="Times New Roman" w:cs="Times New Roman"/>
          <w:b/>
          <w:sz w:val="28"/>
          <w:szCs w:val="28"/>
          <w:lang w:val="uk-UA"/>
        </w:rPr>
        <w:t xml:space="preserve"> Андрій Миколайович</w:t>
      </w:r>
    </w:p>
    <w:p w:rsidR="001162D6" w:rsidRPr="001162D6" w:rsidRDefault="00191179" w:rsidP="00191179">
      <w:pPr>
        <w:spacing w:after="0" w:line="240" w:lineRule="auto"/>
        <w:jc w:val="center"/>
        <w:rPr>
          <w:rFonts w:ascii="Times New Roman" w:hAnsi="Times New Roman" w:cs="Times New Roman"/>
          <w:sz w:val="28"/>
          <w:szCs w:val="28"/>
          <w:lang w:val="uk-UA"/>
        </w:rPr>
      </w:pPr>
      <w:r w:rsidRPr="00191179">
        <w:rPr>
          <w:rFonts w:ascii="Times New Roman" w:hAnsi="Times New Roman" w:cs="Times New Roman"/>
          <w:sz w:val="28"/>
          <w:szCs w:val="28"/>
          <w:lang w:val="uk-UA"/>
        </w:rPr>
        <w:t>доцент кафедри адміністративного права, процесу та адміністративної діяльності Дніпропетровського державного університету внутрішніх справ</w:t>
      </w:r>
      <w:r>
        <w:rPr>
          <w:rFonts w:ascii="Times New Roman" w:hAnsi="Times New Roman" w:cs="Times New Roman"/>
          <w:sz w:val="28"/>
          <w:szCs w:val="28"/>
          <w:lang w:val="uk-UA"/>
        </w:rPr>
        <w:t xml:space="preserve">, </w:t>
      </w:r>
      <w:r w:rsidRPr="00191179">
        <w:rPr>
          <w:rFonts w:ascii="Times New Roman" w:hAnsi="Times New Roman" w:cs="Times New Roman"/>
          <w:sz w:val="28"/>
          <w:szCs w:val="28"/>
          <w:lang w:val="uk-UA"/>
        </w:rPr>
        <w:t>кандидат юридичних наук</w:t>
      </w:r>
      <w:r w:rsidR="00FA63E4">
        <w:rPr>
          <w:rFonts w:ascii="Times New Roman" w:hAnsi="Times New Roman" w:cs="Times New Roman"/>
          <w:sz w:val="28"/>
          <w:szCs w:val="28"/>
          <w:lang w:val="uk-UA"/>
        </w:rPr>
        <w:t>,</w:t>
      </w:r>
      <w:r w:rsidR="00FA63E4" w:rsidRPr="00FA63E4">
        <w:rPr>
          <w:rFonts w:ascii="Times New Roman" w:hAnsi="Times New Roman" w:cs="Times New Roman"/>
          <w:sz w:val="28"/>
          <w:szCs w:val="28"/>
          <w:lang w:val="uk-UA"/>
        </w:rPr>
        <w:t xml:space="preserve"> </w:t>
      </w:r>
      <w:r w:rsidR="00FA63E4">
        <w:rPr>
          <w:rFonts w:ascii="Times New Roman" w:hAnsi="Times New Roman" w:cs="Times New Roman"/>
          <w:sz w:val="28"/>
          <w:szCs w:val="28"/>
          <w:lang w:val="uk-UA"/>
        </w:rPr>
        <w:t>доцент</w:t>
      </w:r>
      <w:bookmarkStart w:id="0" w:name="_GoBack"/>
      <w:bookmarkEnd w:id="0"/>
    </w:p>
    <w:p w:rsidR="001162D6" w:rsidRDefault="001162D6" w:rsidP="00126F7D">
      <w:pPr>
        <w:spacing w:after="0" w:line="360" w:lineRule="auto"/>
        <w:ind w:firstLine="709"/>
        <w:jc w:val="both"/>
        <w:rPr>
          <w:rFonts w:ascii="Times New Roman" w:hAnsi="Times New Roman" w:cs="Times New Roman"/>
          <w:sz w:val="28"/>
          <w:szCs w:val="28"/>
          <w:lang w:val="uk-UA"/>
        </w:rPr>
      </w:pPr>
    </w:p>
    <w:p w:rsidR="001162D6" w:rsidRPr="0053411B" w:rsidRDefault="004A0DE6" w:rsidP="004A0DE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ЗАХОДИ </w:t>
      </w:r>
      <w:r w:rsidRPr="004A0DE6">
        <w:rPr>
          <w:rFonts w:ascii="Times New Roman" w:hAnsi="Times New Roman" w:cs="Times New Roman"/>
          <w:b/>
          <w:sz w:val="28"/>
          <w:szCs w:val="28"/>
          <w:lang w:val="uk-UA"/>
        </w:rPr>
        <w:t>ВІДПОВІДАЛЬН</w:t>
      </w:r>
      <w:r>
        <w:rPr>
          <w:rFonts w:ascii="Times New Roman" w:hAnsi="Times New Roman" w:cs="Times New Roman"/>
          <w:b/>
          <w:sz w:val="28"/>
          <w:szCs w:val="28"/>
          <w:lang w:val="uk-UA"/>
        </w:rPr>
        <w:t>О</w:t>
      </w:r>
      <w:r w:rsidRPr="004A0DE6">
        <w:rPr>
          <w:rFonts w:ascii="Times New Roman" w:hAnsi="Times New Roman" w:cs="Times New Roman"/>
          <w:b/>
          <w:sz w:val="28"/>
          <w:szCs w:val="28"/>
          <w:lang w:val="uk-UA"/>
        </w:rPr>
        <w:t>СТ</w:t>
      </w:r>
      <w:r>
        <w:rPr>
          <w:rFonts w:ascii="Times New Roman" w:hAnsi="Times New Roman" w:cs="Times New Roman"/>
          <w:b/>
          <w:sz w:val="28"/>
          <w:szCs w:val="28"/>
          <w:lang w:val="uk-UA"/>
        </w:rPr>
        <w:t>І</w:t>
      </w:r>
      <w:r w:rsidRPr="004A0DE6">
        <w:rPr>
          <w:rFonts w:ascii="Times New Roman" w:hAnsi="Times New Roman" w:cs="Times New Roman"/>
          <w:b/>
          <w:sz w:val="28"/>
          <w:szCs w:val="28"/>
          <w:lang w:val="uk-UA"/>
        </w:rPr>
        <w:t xml:space="preserve"> ЗА КЕРУВАННЯ ТРАНСПОРТНИМИ ЗАСОБАМИ У СТАНІ СП’ЯНІННЯ: ЗАКОРДОННИЙ ДОСВІД</w:t>
      </w:r>
    </w:p>
    <w:p w:rsidR="001162D6" w:rsidRPr="001A481B" w:rsidRDefault="001162D6" w:rsidP="001A481B">
      <w:pPr>
        <w:spacing w:after="0" w:line="360" w:lineRule="auto"/>
        <w:ind w:firstLine="709"/>
        <w:jc w:val="both"/>
        <w:rPr>
          <w:rFonts w:ascii="Times New Roman" w:hAnsi="Times New Roman" w:cs="Times New Roman"/>
          <w:sz w:val="28"/>
          <w:szCs w:val="28"/>
          <w:lang w:val="uk-UA"/>
        </w:rPr>
      </w:pPr>
    </w:p>
    <w:p w:rsidR="001162D6" w:rsidRPr="001A481B" w:rsidRDefault="001A481B" w:rsidP="001A481B">
      <w:pPr>
        <w:spacing w:after="0" w:line="360" w:lineRule="auto"/>
        <w:ind w:firstLine="709"/>
        <w:jc w:val="both"/>
        <w:rPr>
          <w:rFonts w:ascii="Times New Roman" w:hAnsi="Times New Roman" w:cs="Times New Roman"/>
          <w:sz w:val="28"/>
          <w:szCs w:val="28"/>
          <w:lang w:val="uk-UA"/>
        </w:rPr>
      </w:pPr>
      <w:r w:rsidRPr="001A481B">
        <w:rPr>
          <w:rFonts w:ascii="Times New Roman" w:hAnsi="Times New Roman" w:cs="Times New Roman"/>
          <w:sz w:val="28"/>
          <w:szCs w:val="28"/>
          <w:lang w:val="uk-UA"/>
        </w:rPr>
        <w:t xml:space="preserve">Показники стану безпеки руху та аварійності на наземному транспорті в Україні за 2022 рік порівняно з аналогічним періодом 2021 року значно зменшилися. Основною причиною таких змін є військова агресія </w:t>
      </w:r>
      <w:proofErr w:type="spellStart"/>
      <w:r w:rsidRPr="001A481B">
        <w:rPr>
          <w:rFonts w:ascii="Times New Roman" w:hAnsi="Times New Roman" w:cs="Times New Roman"/>
          <w:sz w:val="28"/>
          <w:szCs w:val="28"/>
          <w:lang w:val="uk-UA"/>
        </w:rPr>
        <w:t>рф</w:t>
      </w:r>
      <w:proofErr w:type="spellEnd"/>
      <w:r w:rsidRPr="001A481B">
        <w:rPr>
          <w:rFonts w:ascii="Times New Roman" w:hAnsi="Times New Roman" w:cs="Times New Roman"/>
          <w:sz w:val="28"/>
          <w:szCs w:val="28"/>
          <w:lang w:val="uk-UA"/>
        </w:rPr>
        <w:t xml:space="preserve"> проти України, тимчасова окупація деяких регіонів та ведення постійних бойових дій, що призвело до зменшення </w:t>
      </w:r>
      <w:proofErr w:type="spellStart"/>
      <w:r w:rsidRPr="001A481B">
        <w:rPr>
          <w:rFonts w:ascii="Times New Roman" w:hAnsi="Times New Roman" w:cs="Times New Roman"/>
          <w:sz w:val="28"/>
          <w:szCs w:val="28"/>
          <w:lang w:val="uk-UA"/>
        </w:rPr>
        <w:t>трафіку</w:t>
      </w:r>
      <w:proofErr w:type="spellEnd"/>
      <w:r w:rsidRPr="001A481B">
        <w:rPr>
          <w:rFonts w:ascii="Times New Roman" w:hAnsi="Times New Roman" w:cs="Times New Roman"/>
          <w:sz w:val="28"/>
          <w:szCs w:val="28"/>
          <w:lang w:val="uk-UA"/>
        </w:rPr>
        <w:t xml:space="preserve"> та кількості перевезень пасажирів і вантажів наземним транспортом на території України</w:t>
      </w:r>
      <w:r w:rsidR="00D655B3">
        <w:rPr>
          <w:rFonts w:ascii="Times New Roman" w:hAnsi="Times New Roman" w:cs="Times New Roman"/>
          <w:sz w:val="28"/>
          <w:szCs w:val="28"/>
          <w:lang w:val="uk-UA"/>
        </w:rPr>
        <w:t xml:space="preserve"> [1, с. 46]</w:t>
      </w:r>
      <w:r w:rsidR="003D3AA7">
        <w:rPr>
          <w:rFonts w:ascii="Times New Roman" w:hAnsi="Times New Roman" w:cs="Times New Roman"/>
          <w:sz w:val="28"/>
          <w:szCs w:val="28"/>
          <w:lang w:val="uk-UA"/>
        </w:rPr>
        <w:t xml:space="preserve">. Проте, рівень ДТП </w:t>
      </w:r>
      <w:r w:rsidR="003548DC">
        <w:rPr>
          <w:rFonts w:ascii="Times New Roman" w:hAnsi="Times New Roman" w:cs="Times New Roman"/>
          <w:sz w:val="28"/>
          <w:szCs w:val="28"/>
          <w:lang w:val="uk-UA"/>
        </w:rPr>
        <w:t>і</w:t>
      </w:r>
      <w:r w:rsidR="003D3AA7">
        <w:rPr>
          <w:rFonts w:ascii="Times New Roman" w:hAnsi="Times New Roman" w:cs="Times New Roman"/>
          <w:sz w:val="28"/>
          <w:szCs w:val="28"/>
          <w:lang w:val="uk-UA"/>
        </w:rPr>
        <w:t xml:space="preserve">з загиблими чи травмованими через керування транспортними засобами </w:t>
      </w:r>
      <w:r w:rsidR="003D3AA7">
        <w:rPr>
          <w:rFonts w:ascii="Times New Roman" w:hAnsi="Times New Roman" w:cs="Times New Roman"/>
          <w:sz w:val="28"/>
          <w:szCs w:val="28"/>
          <w:lang w:val="uk-UA"/>
        </w:rPr>
        <w:t>(далі – ТЗ)</w:t>
      </w:r>
      <w:r w:rsidR="003D3AA7">
        <w:rPr>
          <w:rFonts w:ascii="Times New Roman" w:hAnsi="Times New Roman" w:cs="Times New Roman"/>
          <w:sz w:val="28"/>
          <w:szCs w:val="28"/>
          <w:lang w:val="uk-UA"/>
        </w:rPr>
        <w:t xml:space="preserve"> у стані сп’яніння залишається стабільним </w:t>
      </w:r>
      <w:r w:rsidR="003548DC">
        <w:rPr>
          <w:rFonts w:ascii="Times New Roman" w:hAnsi="Times New Roman" w:cs="Times New Roman"/>
          <w:sz w:val="28"/>
          <w:szCs w:val="28"/>
          <w:lang w:val="uk-UA"/>
        </w:rPr>
        <w:t xml:space="preserve">як у мирний, так і в воєнний час – </w:t>
      </w:r>
      <w:r w:rsidR="003D3AA7">
        <w:rPr>
          <w:rFonts w:ascii="Times New Roman" w:hAnsi="Times New Roman" w:cs="Times New Roman"/>
          <w:sz w:val="28"/>
          <w:szCs w:val="28"/>
          <w:lang w:val="uk-UA"/>
        </w:rPr>
        <w:t xml:space="preserve">в межах </w:t>
      </w:r>
      <w:r w:rsidR="003548DC">
        <w:rPr>
          <w:rFonts w:ascii="Times New Roman" w:hAnsi="Times New Roman" w:cs="Times New Roman"/>
          <w:sz w:val="28"/>
          <w:szCs w:val="28"/>
          <w:lang w:val="uk-UA"/>
        </w:rPr>
        <w:t xml:space="preserve">≈ </w:t>
      </w:r>
      <w:r w:rsidR="003D3AA7">
        <w:rPr>
          <w:rFonts w:ascii="Times New Roman" w:hAnsi="Times New Roman" w:cs="Times New Roman"/>
          <w:sz w:val="28"/>
          <w:szCs w:val="28"/>
          <w:lang w:val="uk-UA"/>
        </w:rPr>
        <w:t xml:space="preserve">4%. </w:t>
      </w:r>
      <w:r w:rsidR="003548DC" w:rsidRPr="003548DC">
        <w:rPr>
          <w:rFonts w:ascii="Times New Roman" w:hAnsi="Times New Roman" w:cs="Times New Roman"/>
          <w:sz w:val="28"/>
          <w:szCs w:val="28"/>
          <w:lang w:val="uk-UA"/>
        </w:rPr>
        <w:t>З року в рік</w:t>
      </w:r>
      <w:r w:rsidR="003548DC">
        <w:rPr>
          <w:rFonts w:ascii="Times New Roman" w:hAnsi="Times New Roman" w:cs="Times New Roman"/>
          <w:sz w:val="28"/>
          <w:szCs w:val="28"/>
          <w:lang w:val="uk-UA"/>
        </w:rPr>
        <w:t xml:space="preserve"> серед поширених причин ДТП керування у стані сп’яніння посідає 5 – 6 місце. Проте, якщо дивитися на співвідношення тяжкості наслідків (загиблих та/чи травмованих) на одну автопригоду, то керування ТЗ у стані сп’яніння вже посідає 2 місце </w:t>
      </w:r>
      <w:r w:rsidR="00D94D2D">
        <w:rPr>
          <w:rFonts w:ascii="Times New Roman" w:hAnsi="Times New Roman" w:cs="Times New Roman"/>
          <w:sz w:val="28"/>
          <w:szCs w:val="28"/>
          <w:lang w:val="uk-UA"/>
        </w:rPr>
        <w:t>(див. </w:t>
      </w:r>
      <w:proofErr w:type="spellStart"/>
      <w:r w:rsidR="00D94D2D">
        <w:rPr>
          <w:rFonts w:ascii="Times New Roman" w:hAnsi="Times New Roman" w:cs="Times New Roman"/>
          <w:sz w:val="28"/>
          <w:szCs w:val="28"/>
          <w:lang w:val="uk-UA"/>
        </w:rPr>
        <w:t>Таб</w:t>
      </w:r>
      <w:proofErr w:type="spellEnd"/>
      <w:r w:rsidR="00D94D2D">
        <w:rPr>
          <w:rFonts w:ascii="Times New Roman" w:hAnsi="Times New Roman" w:cs="Times New Roman"/>
          <w:sz w:val="28"/>
          <w:szCs w:val="28"/>
          <w:lang w:val="uk-UA"/>
        </w:rPr>
        <w:t>. 1) [2].</w:t>
      </w:r>
      <w:r w:rsidR="003D3AA7">
        <w:rPr>
          <w:rFonts w:ascii="Times New Roman" w:hAnsi="Times New Roman" w:cs="Times New Roman"/>
          <w:sz w:val="28"/>
          <w:szCs w:val="28"/>
          <w:lang w:val="uk-UA"/>
        </w:rPr>
        <w:t xml:space="preserve"> </w:t>
      </w:r>
    </w:p>
    <w:p w:rsidR="00191179" w:rsidRPr="00D94D2D" w:rsidRDefault="00D94D2D" w:rsidP="00D94D2D">
      <w:pPr>
        <w:spacing w:after="0" w:line="240" w:lineRule="auto"/>
        <w:jc w:val="center"/>
        <w:rPr>
          <w:rFonts w:ascii="Times New Roman" w:hAnsi="Times New Roman" w:cs="Times New Roman"/>
          <w:sz w:val="24"/>
          <w:szCs w:val="24"/>
          <w:lang w:val="uk-UA"/>
        </w:rPr>
      </w:pPr>
      <w:r w:rsidRPr="007E7DAB">
        <w:rPr>
          <w:rFonts w:ascii="Times New Roman" w:hAnsi="Times New Roman" w:cs="Times New Roman"/>
          <w:i/>
          <w:sz w:val="24"/>
          <w:szCs w:val="24"/>
          <w:lang w:val="uk-UA"/>
        </w:rPr>
        <w:t>Таблиця 1</w:t>
      </w:r>
      <w:r w:rsidRPr="00D94D2D">
        <w:rPr>
          <w:rFonts w:ascii="Times New Roman" w:hAnsi="Times New Roman" w:cs="Times New Roman"/>
          <w:sz w:val="24"/>
          <w:szCs w:val="24"/>
          <w:lang w:val="uk-UA"/>
        </w:rPr>
        <w:t xml:space="preserve">. </w:t>
      </w:r>
      <w:r w:rsidRPr="00D94D2D">
        <w:rPr>
          <w:rFonts w:ascii="Times New Roman" w:hAnsi="Times New Roman" w:cs="Times New Roman"/>
          <w:b/>
          <w:sz w:val="24"/>
          <w:szCs w:val="24"/>
          <w:lang w:val="uk-UA"/>
        </w:rPr>
        <w:t>Аналіз тяжкості наслідків ДТП за причинами в порівнянні на одну автопригоду (за 9 місяців 2023 року)</w:t>
      </w:r>
    </w:p>
    <w:tbl>
      <w:tblPr>
        <w:tblW w:w="9900" w:type="dxa"/>
        <w:tblLook w:val="04A0" w:firstRow="1" w:lastRow="0" w:firstColumn="1" w:lastColumn="0" w:noHBand="0" w:noVBand="1"/>
      </w:tblPr>
      <w:tblGrid>
        <w:gridCol w:w="5495"/>
        <w:gridCol w:w="4405"/>
      </w:tblGrid>
      <w:tr w:rsidR="0054591A" w:rsidRPr="0054591A" w:rsidTr="0054591A">
        <w:trPr>
          <w:trHeight w:val="1145"/>
        </w:trPr>
        <w:tc>
          <w:tcPr>
            <w:tcW w:w="5495" w:type="dxa"/>
            <w:tcBorders>
              <w:top w:val="single" w:sz="8" w:space="0" w:color="auto"/>
              <w:left w:val="single" w:sz="8" w:space="0" w:color="auto"/>
              <w:bottom w:val="single" w:sz="8" w:space="0" w:color="000000"/>
              <w:right w:val="single" w:sz="4" w:space="0" w:color="auto"/>
            </w:tcBorders>
            <w:shd w:val="clear" w:color="000000" w:fill="C6E0B4"/>
            <w:vAlign w:val="center"/>
            <w:hideMark/>
          </w:tcPr>
          <w:p w:rsidR="0054591A" w:rsidRPr="0054591A" w:rsidRDefault="0054591A" w:rsidP="0054591A">
            <w:pPr>
              <w:spacing w:after="0" w:line="240" w:lineRule="auto"/>
              <w:jc w:val="center"/>
              <w:rPr>
                <w:rFonts w:ascii="Times New Roman" w:eastAsia="Times New Roman" w:hAnsi="Times New Roman" w:cs="Times New Roman"/>
                <w:b/>
                <w:bCs/>
                <w:color w:val="000000"/>
                <w:sz w:val="24"/>
                <w:szCs w:val="24"/>
                <w:lang w:val="uk-UA" w:eastAsia="ru-RU"/>
              </w:rPr>
            </w:pPr>
            <w:r w:rsidRPr="0054591A">
              <w:rPr>
                <w:rFonts w:ascii="Times New Roman" w:eastAsia="Times New Roman" w:hAnsi="Times New Roman" w:cs="Times New Roman"/>
                <w:b/>
                <w:bCs/>
                <w:color w:val="000000"/>
                <w:sz w:val="24"/>
                <w:szCs w:val="24"/>
                <w:lang w:val="uk-UA" w:eastAsia="ru-RU"/>
              </w:rPr>
              <w:t>Причини</w:t>
            </w:r>
          </w:p>
        </w:tc>
        <w:tc>
          <w:tcPr>
            <w:tcW w:w="4405" w:type="dxa"/>
            <w:tcBorders>
              <w:top w:val="single" w:sz="8" w:space="0" w:color="auto"/>
              <w:left w:val="nil"/>
              <w:right w:val="single" w:sz="8" w:space="0" w:color="000000"/>
            </w:tcBorders>
            <w:shd w:val="clear" w:color="000000" w:fill="C6E0B4"/>
            <w:vAlign w:val="center"/>
            <w:hideMark/>
          </w:tcPr>
          <w:p w:rsidR="0054591A" w:rsidRPr="0054591A" w:rsidRDefault="0054591A" w:rsidP="0054591A">
            <w:pPr>
              <w:spacing w:after="0" w:line="240" w:lineRule="auto"/>
              <w:jc w:val="center"/>
              <w:rPr>
                <w:rFonts w:ascii="Times New Roman" w:eastAsia="Times New Roman" w:hAnsi="Times New Roman" w:cs="Times New Roman"/>
                <w:b/>
                <w:bCs/>
                <w:color w:val="000000"/>
                <w:sz w:val="24"/>
                <w:szCs w:val="24"/>
                <w:lang w:val="uk-UA" w:eastAsia="ru-RU"/>
              </w:rPr>
            </w:pPr>
            <w:r w:rsidRPr="0054591A">
              <w:rPr>
                <w:rFonts w:ascii="Times New Roman" w:eastAsia="Times New Roman" w:hAnsi="Times New Roman" w:cs="Times New Roman"/>
                <w:b/>
                <w:bCs/>
                <w:color w:val="000000"/>
                <w:sz w:val="24"/>
                <w:szCs w:val="24"/>
                <w:lang w:val="uk-UA" w:eastAsia="ru-RU"/>
              </w:rPr>
              <w:t>ДТП з загиблими та/або травмованими</w:t>
            </w:r>
          </w:p>
        </w:tc>
      </w:tr>
      <w:tr w:rsidR="0054591A" w:rsidRPr="0054591A" w:rsidTr="0054591A">
        <w:trPr>
          <w:trHeight w:val="703"/>
        </w:trPr>
        <w:tc>
          <w:tcPr>
            <w:tcW w:w="5495" w:type="dxa"/>
            <w:tcBorders>
              <w:top w:val="nil"/>
              <w:left w:val="single" w:sz="8" w:space="0" w:color="auto"/>
              <w:bottom w:val="single" w:sz="8" w:space="0" w:color="auto"/>
              <w:right w:val="single" w:sz="8" w:space="0" w:color="auto"/>
            </w:tcBorders>
            <w:shd w:val="clear" w:color="000000" w:fill="FFFFFF"/>
            <w:vAlign w:val="center"/>
            <w:hideMark/>
          </w:tcPr>
          <w:p w:rsidR="0054591A" w:rsidRPr="0054591A" w:rsidRDefault="0054591A" w:rsidP="0054591A">
            <w:pPr>
              <w:spacing w:after="0" w:line="240" w:lineRule="auto"/>
              <w:rPr>
                <w:rFonts w:ascii="Times New Roman" w:eastAsia="Times New Roman" w:hAnsi="Times New Roman" w:cs="Times New Roman"/>
                <w:color w:val="000000"/>
                <w:sz w:val="24"/>
                <w:szCs w:val="24"/>
                <w:lang w:val="uk-UA" w:eastAsia="ru-RU"/>
              </w:rPr>
            </w:pPr>
            <w:r w:rsidRPr="0054591A">
              <w:rPr>
                <w:rFonts w:ascii="Times New Roman" w:eastAsia="Times New Roman" w:hAnsi="Times New Roman" w:cs="Times New Roman"/>
                <w:color w:val="000000"/>
                <w:sz w:val="24"/>
                <w:szCs w:val="24"/>
                <w:lang w:val="uk-UA" w:eastAsia="ru-RU"/>
              </w:rPr>
              <w:t>перевищення безпечної швидкості</w:t>
            </w:r>
          </w:p>
        </w:tc>
        <w:tc>
          <w:tcPr>
            <w:tcW w:w="4405" w:type="dxa"/>
            <w:tcBorders>
              <w:top w:val="nil"/>
              <w:left w:val="nil"/>
              <w:bottom w:val="single" w:sz="8" w:space="0" w:color="auto"/>
              <w:right w:val="single" w:sz="8" w:space="0" w:color="auto"/>
            </w:tcBorders>
            <w:shd w:val="clear" w:color="auto" w:fill="auto"/>
            <w:noWrap/>
            <w:vAlign w:val="center"/>
            <w:hideMark/>
          </w:tcPr>
          <w:p w:rsidR="0054591A" w:rsidRPr="0054591A" w:rsidRDefault="0054591A" w:rsidP="0054591A">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 – 0,16 – 1,26</w:t>
            </w:r>
          </w:p>
        </w:tc>
      </w:tr>
      <w:tr w:rsidR="003548DC" w:rsidRPr="0054591A" w:rsidTr="0054591A">
        <w:trPr>
          <w:trHeight w:val="703"/>
        </w:trPr>
        <w:tc>
          <w:tcPr>
            <w:tcW w:w="5495" w:type="dxa"/>
            <w:tcBorders>
              <w:top w:val="nil"/>
              <w:left w:val="single" w:sz="8" w:space="0" w:color="auto"/>
              <w:bottom w:val="single" w:sz="8" w:space="0" w:color="auto"/>
              <w:right w:val="single" w:sz="8" w:space="0" w:color="auto"/>
            </w:tcBorders>
            <w:shd w:val="clear" w:color="000000" w:fill="FFFFFF"/>
            <w:vAlign w:val="center"/>
          </w:tcPr>
          <w:p w:rsidR="003548DC" w:rsidRPr="0054591A" w:rsidRDefault="003548DC" w:rsidP="004C181E">
            <w:pPr>
              <w:spacing w:after="0" w:line="240" w:lineRule="auto"/>
              <w:rPr>
                <w:rFonts w:ascii="Times New Roman" w:eastAsia="Times New Roman" w:hAnsi="Times New Roman" w:cs="Times New Roman"/>
                <w:color w:val="000000"/>
                <w:sz w:val="24"/>
                <w:szCs w:val="24"/>
                <w:lang w:val="uk-UA" w:eastAsia="ru-RU"/>
              </w:rPr>
            </w:pPr>
            <w:r w:rsidRPr="0054591A">
              <w:rPr>
                <w:rFonts w:ascii="Times New Roman" w:eastAsia="Times New Roman" w:hAnsi="Times New Roman" w:cs="Times New Roman"/>
                <w:color w:val="000000"/>
                <w:sz w:val="24"/>
                <w:szCs w:val="24"/>
                <w:lang w:val="uk-UA" w:eastAsia="ru-RU"/>
              </w:rPr>
              <w:t>керування транспортним засобом у стані сп’яніння</w:t>
            </w:r>
          </w:p>
        </w:tc>
        <w:tc>
          <w:tcPr>
            <w:tcW w:w="4405" w:type="dxa"/>
            <w:tcBorders>
              <w:top w:val="nil"/>
              <w:left w:val="nil"/>
              <w:bottom w:val="single" w:sz="8" w:space="0" w:color="auto"/>
              <w:right w:val="single" w:sz="8" w:space="0" w:color="auto"/>
            </w:tcBorders>
            <w:shd w:val="clear" w:color="auto" w:fill="auto"/>
            <w:noWrap/>
            <w:vAlign w:val="center"/>
          </w:tcPr>
          <w:p w:rsidR="003548DC" w:rsidRPr="0054591A" w:rsidRDefault="003548DC" w:rsidP="004C181E">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 – 0,09 – 1,27 </w:t>
            </w:r>
          </w:p>
        </w:tc>
      </w:tr>
      <w:tr w:rsidR="0054591A" w:rsidRPr="0054591A" w:rsidTr="0054591A">
        <w:trPr>
          <w:trHeight w:val="703"/>
        </w:trPr>
        <w:tc>
          <w:tcPr>
            <w:tcW w:w="5495" w:type="dxa"/>
            <w:tcBorders>
              <w:top w:val="nil"/>
              <w:left w:val="single" w:sz="8" w:space="0" w:color="auto"/>
              <w:bottom w:val="single" w:sz="8" w:space="0" w:color="auto"/>
              <w:right w:val="single" w:sz="8" w:space="0" w:color="auto"/>
            </w:tcBorders>
            <w:shd w:val="clear" w:color="000000" w:fill="FFFFFF"/>
            <w:vAlign w:val="center"/>
            <w:hideMark/>
          </w:tcPr>
          <w:p w:rsidR="0054591A" w:rsidRPr="0054591A" w:rsidRDefault="0054591A" w:rsidP="0054591A">
            <w:pPr>
              <w:spacing w:after="0" w:line="240" w:lineRule="auto"/>
              <w:rPr>
                <w:rFonts w:ascii="Times New Roman" w:eastAsia="Times New Roman" w:hAnsi="Times New Roman" w:cs="Times New Roman"/>
                <w:color w:val="000000"/>
                <w:sz w:val="24"/>
                <w:szCs w:val="24"/>
                <w:lang w:val="uk-UA" w:eastAsia="ru-RU"/>
              </w:rPr>
            </w:pPr>
            <w:r w:rsidRPr="0054591A">
              <w:rPr>
                <w:rFonts w:ascii="Times New Roman" w:eastAsia="Times New Roman" w:hAnsi="Times New Roman" w:cs="Times New Roman"/>
                <w:color w:val="000000"/>
                <w:sz w:val="24"/>
                <w:szCs w:val="24"/>
                <w:lang w:val="uk-UA" w:eastAsia="ru-RU"/>
              </w:rPr>
              <w:lastRenderedPageBreak/>
              <w:t>порушення правил маневрування</w:t>
            </w:r>
          </w:p>
        </w:tc>
        <w:tc>
          <w:tcPr>
            <w:tcW w:w="4405" w:type="dxa"/>
            <w:tcBorders>
              <w:top w:val="nil"/>
              <w:left w:val="nil"/>
              <w:bottom w:val="single" w:sz="8" w:space="0" w:color="auto"/>
              <w:right w:val="single" w:sz="8" w:space="0" w:color="auto"/>
            </w:tcBorders>
            <w:shd w:val="clear" w:color="auto" w:fill="auto"/>
            <w:noWrap/>
            <w:vAlign w:val="center"/>
            <w:hideMark/>
          </w:tcPr>
          <w:p w:rsidR="0054591A" w:rsidRPr="0054591A" w:rsidRDefault="0054591A" w:rsidP="0054591A">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 – 0,08 – 1,25 </w:t>
            </w:r>
          </w:p>
        </w:tc>
      </w:tr>
      <w:tr w:rsidR="003548DC" w:rsidRPr="0054591A" w:rsidTr="0054591A">
        <w:trPr>
          <w:trHeight w:val="703"/>
        </w:trPr>
        <w:tc>
          <w:tcPr>
            <w:tcW w:w="5495" w:type="dxa"/>
            <w:tcBorders>
              <w:top w:val="nil"/>
              <w:left w:val="single" w:sz="8" w:space="0" w:color="auto"/>
              <w:bottom w:val="single" w:sz="8" w:space="0" w:color="auto"/>
              <w:right w:val="single" w:sz="8" w:space="0" w:color="auto"/>
            </w:tcBorders>
            <w:shd w:val="clear" w:color="000000" w:fill="FFFFFF"/>
            <w:vAlign w:val="center"/>
          </w:tcPr>
          <w:p w:rsidR="003548DC" w:rsidRPr="0054591A" w:rsidRDefault="003548DC" w:rsidP="004C181E">
            <w:pPr>
              <w:spacing w:after="0" w:line="240" w:lineRule="auto"/>
              <w:rPr>
                <w:rFonts w:ascii="Times New Roman" w:eastAsia="Times New Roman" w:hAnsi="Times New Roman" w:cs="Times New Roman"/>
                <w:color w:val="000000"/>
                <w:sz w:val="24"/>
                <w:szCs w:val="24"/>
                <w:lang w:val="uk-UA" w:eastAsia="ru-RU"/>
              </w:rPr>
            </w:pPr>
            <w:r w:rsidRPr="0054591A">
              <w:rPr>
                <w:rFonts w:ascii="Times New Roman" w:eastAsia="Times New Roman" w:hAnsi="Times New Roman" w:cs="Times New Roman"/>
                <w:color w:val="000000"/>
                <w:sz w:val="24"/>
                <w:szCs w:val="24"/>
                <w:lang w:val="uk-UA" w:eastAsia="ru-RU"/>
              </w:rPr>
              <w:t>недотримання дистанції</w:t>
            </w:r>
          </w:p>
        </w:tc>
        <w:tc>
          <w:tcPr>
            <w:tcW w:w="4405" w:type="dxa"/>
            <w:tcBorders>
              <w:top w:val="nil"/>
              <w:left w:val="nil"/>
              <w:bottom w:val="single" w:sz="8" w:space="0" w:color="auto"/>
              <w:right w:val="single" w:sz="8" w:space="0" w:color="auto"/>
            </w:tcBorders>
            <w:shd w:val="clear" w:color="auto" w:fill="auto"/>
            <w:noWrap/>
            <w:vAlign w:val="center"/>
          </w:tcPr>
          <w:p w:rsidR="003548DC" w:rsidRPr="0054591A" w:rsidRDefault="003548DC" w:rsidP="004C181E">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1 – 0,07 – 1,25 </w:t>
            </w:r>
          </w:p>
        </w:tc>
      </w:tr>
      <w:tr w:rsidR="0054591A" w:rsidRPr="0054591A" w:rsidTr="0054591A">
        <w:trPr>
          <w:trHeight w:val="703"/>
        </w:trPr>
        <w:tc>
          <w:tcPr>
            <w:tcW w:w="5495" w:type="dxa"/>
            <w:tcBorders>
              <w:top w:val="nil"/>
              <w:left w:val="single" w:sz="8" w:space="0" w:color="auto"/>
              <w:bottom w:val="single" w:sz="8" w:space="0" w:color="auto"/>
              <w:right w:val="single" w:sz="8" w:space="0" w:color="auto"/>
            </w:tcBorders>
            <w:shd w:val="clear" w:color="000000" w:fill="FFFFFF"/>
            <w:vAlign w:val="center"/>
          </w:tcPr>
          <w:p w:rsidR="0054591A" w:rsidRPr="0054591A" w:rsidRDefault="0054591A" w:rsidP="00E520FD">
            <w:pPr>
              <w:spacing w:after="0" w:line="240" w:lineRule="auto"/>
              <w:rPr>
                <w:rFonts w:ascii="Times New Roman" w:eastAsia="Times New Roman" w:hAnsi="Times New Roman" w:cs="Times New Roman"/>
                <w:color w:val="000000"/>
                <w:sz w:val="24"/>
                <w:szCs w:val="24"/>
                <w:lang w:val="uk-UA" w:eastAsia="ru-RU"/>
              </w:rPr>
            </w:pPr>
            <w:r w:rsidRPr="0054591A">
              <w:rPr>
                <w:rFonts w:ascii="Times New Roman" w:eastAsia="Times New Roman" w:hAnsi="Times New Roman" w:cs="Times New Roman"/>
                <w:color w:val="000000"/>
                <w:sz w:val="24"/>
                <w:szCs w:val="24"/>
                <w:lang w:val="uk-UA" w:eastAsia="ru-RU"/>
              </w:rPr>
              <w:t>порушення правил проїзду пішохідних переходів</w:t>
            </w:r>
          </w:p>
        </w:tc>
        <w:tc>
          <w:tcPr>
            <w:tcW w:w="4405" w:type="dxa"/>
            <w:tcBorders>
              <w:top w:val="nil"/>
              <w:left w:val="nil"/>
              <w:bottom w:val="single" w:sz="8" w:space="0" w:color="auto"/>
              <w:right w:val="single" w:sz="8" w:space="0" w:color="auto"/>
            </w:tcBorders>
            <w:shd w:val="clear" w:color="auto" w:fill="auto"/>
            <w:noWrap/>
            <w:vAlign w:val="center"/>
          </w:tcPr>
          <w:p w:rsidR="0054591A" w:rsidRPr="0054591A" w:rsidRDefault="0054591A" w:rsidP="003548DC">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 – 0,06 – 1</w:t>
            </w:r>
          </w:p>
        </w:tc>
      </w:tr>
      <w:tr w:rsidR="0054591A" w:rsidRPr="0054591A" w:rsidTr="0054591A">
        <w:trPr>
          <w:trHeight w:val="703"/>
        </w:trPr>
        <w:tc>
          <w:tcPr>
            <w:tcW w:w="5495" w:type="dxa"/>
            <w:tcBorders>
              <w:top w:val="nil"/>
              <w:left w:val="single" w:sz="8" w:space="0" w:color="auto"/>
              <w:bottom w:val="single" w:sz="8" w:space="0" w:color="auto"/>
              <w:right w:val="single" w:sz="8" w:space="0" w:color="auto"/>
            </w:tcBorders>
            <w:shd w:val="clear" w:color="000000" w:fill="FFFFFF"/>
            <w:vAlign w:val="center"/>
            <w:hideMark/>
          </w:tcPr>
          <w:p w:rsidR="0054591A" w:rsidRPr="0054591A" w:rsidRDefault="0054591A" w:rsidP="0054591A">
            <w:pPr>
              <w:spacing w:after="0" w:line="240" w:lineRule="auto"/>
              <w:rPr>
                <w:rFonts w:ascii="Times New Roman" w:eastAsia="Times New Roman" w:hAnsi="Times New Roman" w:cs="Times New Roman"/>
                <w:color w:val="000000"/>
                <w:sz w:val="24"/>
                <w:szCs w:val="24"/>
                <w:lang w:val="uk-UA" w:eastAsia="ru-RU"/>
              </w:rPr>
            </w:pPr>
            <w:r w:rsidRPr="0054591A">
              <w:rPr>
                <w:rFonts w:ascii="Times New Roman" w:eastAsia="Times New Roman" w:hAnsi="Times New Roman" w:cs="Times New Roman"/>
                <w:color w:val="000000"/>
                <w:sz w:val="24"/>
                <w:szCs w:val="24"/>
                <w:lang w:val="uk-UA" w:eastAsia="ru-RU"/>
              </w:rPr>
              <w:t>порушення правил проїзду перехресть</w:t>
            </w:r>
          </w:p>
        </w:tc>
        <w:tc>
          <w:tcPr>
            <w:tcW w:w="4405" w:type="dxa"/>
            <w:tcBorders>
              <w:top w:val="nil"/>
              <w:left w:val="nil"/>
              <w:bottom w:val="single" w:sz="8" w:space="0" w:color="auto"/>
              <w:right w:val="single" w:sz="8" w:space="0" w:color="auto"/>
            </w:tcBorders>
            <w:shd w:val="clear" w:color="auto" w:fill="auto"/>
            <w:noWrap/>
            <w:vAlign w:val="center"/>
            <w:hideMark/>
          </w:tcPr>
          <w:p w:rsidR="0054591A" w:rsidRPr="0054591A" w:rsidRDefault="0054591A" w:rsidP="0054591A">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 – 0,0</w:t>
            </w:r>
            <w:r>
              <w:rPr>
                <w:rFonts w:ascii="Times New Roman" w:eastAsia="Times New Roman" w:hAnsi="Times New Roman" w:cs="Times New Roman"/>
                <w:color w:val="000000"/>
                <w:sz w:val="24"/>
                <w:szCs w:val="24"/>
                <w:lang w:val="uk-UA" w:eastAsia="ru-RU"/>
              </w:rPr>
              <w:t>3</w:t>
            </w:r>
            <w:r>
              <w:rPr>
                <w:rFonts w:ascii="Times New Roman" w:eastAsia="Times New Roman" w:hAnsi="Times New Roman" w:cs="Times New Roman"/>
                <w:color w:val="000000"/>
                <w:sz w:val="24"/>
                <w:szCs w:val="24"/>
                <w:lang w:val="uk-UA" w:eastAsia="ru-RU"/>
              </w:rPr>
              <w:t xml:space="preserve"> – 1,</w:t>
            </w:r>
            <w:r>
              <w:rPr>
                <w:rFonts w:ascii="Times New Roman" w:eastAsia="Times New Roman" w:hAnsi="Times New Roman" w:cs="Times New Roman"/>
                <w:color w:val="000000"/>
                <w:sz w:val="24"/>
                <w:szCs w:val="24"/>
                <w:lang w:val="uk-UA" w:eastAsia="ru-RU"/>
              </w:rPr>
              <w:t>4</w:t>
            </w:r>
            <w:r>
              <w:rPr>
                <w:rFonts w:ascii="Times New Roman" w:eastAsia="Times New Roman" w:hAnsi="Times New Roman" w:cs="Times New Roman"/>
                <w:color w:val="000000"/>
                <w:sz w:val="24"/>
                <w:szCs w:val="24"/>
                <w:lang w:val="uk-UA" w:eastAsia="ru-RU"/>
              </w:rPr>
              <w:t xml:space="preserve">5 </w:t>
            </w:r>
          </w:p>
        </w:tc>
      </w:tr>
    </w:tbl>
    <w:p w:rsidR="0054591A" w:rsidRDefault="0054591A" w:rsidP="001A481B">
      <w:pPr>
        <w:spacing w:after="0" w:line="360" w:lineRule="auto"/>
        <w:ind w:firstLine="709"/>
        <w:jc w:val="both"/>
        <w:rPr>
          <w:rFonts w:ascii="Times New Roman" w:hAnsi="Times New Roman" w:cs="Times New Roman"/>
          <w:sz w:val="28"/>
          <w:szCs w:val="28"/>
          <w:lang w:val="uk-UA"/>
        </w:rPr>
      </w:pPr>
    </w:p>
    <w:p w:rsidR="002E796B" w:rsidRPr="002E796B" w:rsidRDefault="002E796B" w:rsidP="002E796B">
      <w:pPr>
        <w:spacing w:after="0" w:line="360" w:lineRule="auto"/>
        <w:ind w:firstLine="709"/>
        <w:jc w:val="both"/>
        <w:rPr>
          <w:rFonts w:ascii="Times New Roman" w:hAnsi="Times New Roman" w:cs="Times New Roman"/>
          <w:sz w:val="28"/>
          <w:szCs w:val="28"/>
          <w:lang w:val="uk-UA"/>
        </w:rPr>
      </w:pPr>
      <w:r w:rsidRPr="002E796B">
        <w:rPr>
          <w:rFonts w:ascii="Times New Roman" w:hAnsi="Times New Roman" w:cs="Times New Roman"/>
          <w:sz w:val="28"/>
          <w:szCs w:val="28"/>
          <w:lang w:val="uk-UA"/>
        </w:rPr>
        <w:t>За міжнародними стандартами у всіх випадках максимальний рівень вмісту алкоголю в крові не повинен перевищувати 0,50 г чистого алкоголю на літр крові або 0,25 мг на літр повітря, що видихається. Але ці стандарти можуть змінюватись та мають бути визначені у національному законодавстві</w:t>
      </w:r>
      <w:r w:rsidR="000A5F96">
        <w:rPr>
          <w:rFonts w:ascii="Times New Roman" w:hAnsi="Times New Roman" w:cs="Times New Roman"/>
          <w:sz w:val="28"/>
          <w:szCs w:val="28"/>
          <w:lang w:val="uk-UA"/>
        </w:rPr>
        <w:t xml:space="preserve"> [</w:t>
      </w:r>
      <w:r w:rsidR="00536678">
        <w:rPr>
          <w:rFonts w:ascii="Times New Roman" w:hAnsi="Times New Roman" w:cs="Times New Roman"/>
          <w:sz w:val="28"/>
          <w:szCs w:val="28"/>
          <w:lang w:val="uk-UA"/>
        </w:rPr>
        <w:t>3</w:t>
      </w:r>
      <w:r w:rsidR="000A5F96">
        <w:rPr>
          <w:rFonts w:ascii="Times New Roman" w:hAnsi="Times New Roman" w:cs="Times New Roman"/>
          <w:sz w:val="28"/>
          <w:szCs w:val="28"/>
          <w:lang w:val="uk-UA"/>
        </w:rPr>
        <w:t>]</w:t>
      </w:r>
      <w:r w:rsidRPr="002E796B">
        <w:rPr>
          <w:rFonts w:ascii="Times New Roman" w:hAnsi="Times New Roman" w:cs="Times New Roman"/>
          <w:sz w:val="28"/>
          <w:szCs w:val="28"/>
          <w:lang w:val="uk-UA"/>
        </w:rPr>
        <w:t>.</w:t>
      </w:r>
    </w:p>
    <w:p w:rsidR="002E796B" w:rsidRPr="002E796B" w:rsidRDefault="002E796B" w:rsidP="002E796B">
      <w:pPr>
        <w:spacing w:after="0" w:line="360" w:lineRule="auto"/>
        <w:ind w:firstLine="709"/>
        <w:jc w:val="both"/>
        <w:rPr>
          <w:rFonts w:ascii="Times New Roman" w:hAnsi="Times New Roman" w:cs="Times New Roman"/>
          <w:sz w:val="28"/>
          <w:szCs w:val="28"/>
          <w:lang w:val="uk-UA"/>
        </w:rPr>
      </w:pPr>
      <w:r w:rsidRPr="002E796B">
        <w:rPr>
          <w:rFonts w:ascii="Times New Roman" w:hAnsi="Times New Roman" w:cs="Times New Roman"/>
          <w:sz w:val="28"/>
          <w:szCs w:val="28"/>
          <w:lang w:val="uk-UA"/>
        </w:rPr>
        <w:t xml:space="preserve">Проведені у 2013-2014 роках (на замовлення Генерального департаменту з мобільності та транспорту Європейської Комісії) дослідження представили дані щодо вживання алкоголю та інших </w:t>
      </w:r>
      <w:proofErr w:type="spellStart"/>
      <w:r w:rsidRPr="002E796B">
        <w:rPr>
          <w:rFonts w:ascii="Times New Roman" w:hAnsi="Times New Roman" w:cs="Times New Roman"/>
          <w:sz w:val="28"/>
          <w:szCs w:val="28"/>
          <w:lang w:val="uk-UA"/>
        </w:rPr>
        <w:t>психоактивних</w:t>
      </w:r>
      <w:proofErr w:type="spellEnd"/>
      <w:r w:rsidRPr="002E796B">
        <w:rPr>
          <w:rFonts w:ascii="Times New Roman" w:hAnsi="Times New Roman" w:cs="Times New Roman"/>
          <w:sz w:val="28"/>
          <w:szCs w:val="28"/>
          <w:lang w:val="uk-UA"/>
        </w:rPr>
        <w:t xml:space="preserve"> речовин водіями тринадцяти країн Європи.</w:t>
      </w:r>
    </w:p>
    <w:p w:rsidR="002E796B" w:rsidRDefault="002E796B" w:rsidP="002E796B">
      <w:pPr>
        <w:spacing w:after="0" w:line="360" w:lineRule="auto"/>
        <w:ind w:firstLine="709"/>
        <w:jc w:val="both"/>
        <w:rPr>
          <w:rFonts w:ascii="Times New Roman" w:hAnsi="Times New Roman" w:cs="Times New Roman"/>
          <w:sz w:val="28"/>
          <w:szCs w:val="28"/>
          <w:lang w:val="uk-UA"/>
        </w:rPr>
      </w:pPr>
      <w:r w:rsidRPr="002E796B">
        <w:rPr>
          <w:rFonts w:ascii="Times New Roman" w:hAnsi="Times New Roman" w:cs="Times New Roman"/>
          <w:sz w:val="28"/>
          <w:szCs w:val="28"/>
          <w:lang w:val="uk-UA"/>
        </w:rPr>
        <w:t xml:space="preserve">Результати цих досліджень вказують, що серед водіїв європейського автомобільного транспорту найбільш часто вживаною </w:t>
      </w:r>
      <w:proofErr w:type="spellStart"/>
      <w:r w:rsidRPr="002E796B">
        <w:rPr>
          <w:rFonts w:ascii="Times New Roman" w:hAnsi="Times New Roman" w:cs="Times New Roman"/>
          <w:sz w:val="28"/>
          <w:szCs w:val="28"/>
          <w:lang w:val="uk-UA"/>
        </w:rPr>
        <w:t>психоактивною</w:t>
      </w:r>
      <w:proofErr w:type="spellEnd"/>
      <w:r w:rsidRPr="002E796B">
        <w:rPr>
          <w:rFonts w:ascii="Times New Roman" w:hAnsi="Times New Roman" w:cs="Times New Roman"/>
          <w:sz w:val="28"/>
          <w:szCs w:val="28"/>
          <w:lang w:val="uk-UA"/>
        </w:rPr>
        <w:t xml:space="preserve"> речовиною є алкоголь. На підставі цих результатів було підраховано, що в середньому 1,65% усіх водіїв європейського дорожнього руху керують ТЗ з концентрацією алкоголю в крові 0,5 г/л або вище</w:t>
      </w:r>
      <w:r w:rsidR="000A5F96">
        <w:rPr>
          <w:rFonts w:ascii="Times New Roman" w:hAnsi="Times New Roman" w:cs="Times New Roman"/>
          <w:sz w:val="28"/>
          <w:szCs w:val="28"/>
          <w:lang w:val="uk-UA"/>
        </w:rPr>
        <w:t xml:space="preserve"> </w:t>
      </w:r>
      <w:r w:rsidR="000A5F96" w:rsidRPr="000A5F96">
        <w:rPr>
          <w:rFonts w:ascii="Times New Roman" w:hAnsi="Times New Roman" w:cs="Times New Roman"/>
          <w:sz w:val="28"/>
          <w:szCs w:val="28"/>
          <w:lang w:val="uk-UA"/>
        </w:rPr>
        <w:t>(</w:t>
      </w:r>
      <w:proofErr w:type="spellStart"/>
      <w:r w:rsidR="000A5F96" w:rsidRPr="000A5F96">
        <w:rPr>
          <w:rFonts w:ascii="Times New Roman" w:hAnsi="Times New Roman" w:cs="Times New Roman"/>
          <w:sz w:val="28"/>
          <w:szCs w:val="28"/>
          <w:lang w:val="uk-UA"/>
        </w:rPr>
        <w:t>див. Таб</w:t>
      </w:r>
      <w:proofErr w:type="spellEnd"/>
      <w:r w:rsidR="000A5F96" w:rsidRPr="000A5F96">
        <w:rPr>
          <w:rFonts w:ascii="Times New Roman" w:hAnsi="Times New Roman" w:cs="Times New Roman"/>
          <w:sz w:val="28"/>
          <w:szCs w:val="28"/>
          <w:lang w:val="uk-UA"/>
        </w:rPr>
        <w:t>. 2)</w:t>
      </w:r>
      <w:r w:rsidR="000A5F96">
        <w:rPr>
          <w:rFonts w:ascii="Times New Roman" w:hAnsi="Times New Roman" w:cs="Times New Roman"/>
          <w:sz w:val="28"/>
          <w:szCs w:val="28"/>
          <w:lang w:val="uk-UA"/>
        </w:rPr>
        <w:t xml:space="preserve"> [</w:t>
      </w:r>
      <w:r w:rsidR="00536678">
        <w:rPr>
          <w:rFonts w:ascii="Times New Roman" w:hAnsi="Times New Roman" w:cs="Times New Roman"/>
          <w:sz w:val="28"/>
          <w:szCs w:val="28"/>
          <w:lang w:val="uk-UA"/>
        </w:rPr>
        <w:t>4</w:t>
      </w:r>
      <w:r w:rsidR="000A5F96">
        <w:rPr>
          <w:rFonts w:ascii="Times New Roman" w:hAnsi="Times New Roman" w:cs="Times New Roman"/>
          <w:sz w:val="28"/>
          <w:szCs w:val="28"/>
          <w:lang w:val="uk-UA"/>
        </w:rPr>
        <w:t>]</w:t>
      </w:r>
      <w:r w:rsidRPr="002E796B">
        <w:rPr>
          <w:rFonts w:ascii="Times New Roman" w:hAnsi="Times New Roman" w:cs="Times New Roman"/>
          <w:sz w:val="28"/>
          <w:szCs w:val="28"/>
          <w:lang w:val="uk-UA"/>
        </w:rPr>
        <w:t>.</w:t>
      </w:r>
    </w:p>
    <w:p w:rsidR="00AA06F8" w:rsidRDefault="002831B0" w:rsidP="001A481B">
      <w:pPr>
        <w:spacing w:after="0" w:line="360" w:lineRule="auto"/>
        <w:ind w:firstLine="709"/>
        <w:jc w:val="both"/>
        <w:rPr>
          <w:rFonts w:ascii="Times New Roman" w:hAnsi="Times New Roman" w:cs="Times New Roman"/>
          <w:sz w:val="28"/>
          <w:szCs w:val="28"/>
          <w:lang w:val="uk-UA"/>
        </w:rPr>
      </w:pPr>
      <w:r w:rsidRPr="002831B0">
        <w:rPr>
          <w:rFonts w:ascii="Times New Roman" w:hAnsi="Times New Roman" w:cs="Times New Roman"/>
          <w:sz w:val="28"/>
          <w:szCs w:val="28"/>
          <w:lang w:val="uk-UA"/>
        </w:rPr>
        <w:t>Якщо проаналізувати законодавство інших країн, можна побачити, що відповідальність за керування ТЗ у стані сп’яніння є більш жорстокішою ніж в Україні.</w:t>
      </w:r>
    </w:p>
    <w:p w:rsidR="000A5F96" w:rsidRPr="000A5F96" w:rsidRDefault="000A5F96" w:rsidP="000A5F96">
      <w:pPr>
        <w:spacing w:after="0" w:line="240" w:lineRule="auto"/>
        <w:jc w:val="center"/>
        <w:rPr>
          <w:rFonts w:ascii="Times New Roman" w:hAnsi="Times New Roman" w:cs="Times New Roman"/>
          <w:sz w:val="24"/>
          <w:szCs w:val="24"/>
          <w:lang w:val="uk-UA"/>
        </w:rPr>
      </w:pPr>
      <w:r w:rsidRPr="000A5F96">
        <w:rPr>
          <w:rFonts w:ascii="Times New Roman" w:hAnsi="Times New Roman" w:cs="Times New Roman"/>
          <w:i/>
          <w:sz w:val="24"/>
          <w:szCs w:val="24"/>
          <w:lang w:val="uk-UA"/>
        </w:rPr>
        <w:t>Таблиця 2.</w:t>
      </w:r>
      <w:r w:rsidRPr="000A5F96">
        <w:rPr>
          <w:rFonts w:ascii="Times New Roman" w:hAnsi="Times New Roman" w:cs="Times New Roman"/>
          <w:sz w:val="24"/>
          <w:szCs w:val="24"/>
          <w:lang w:val="uk-UA"/>
        </w:rPr>
        <w:t xml:space="preserve"> </w:t>
      </w:r>
      <w:r w:rsidRPr="000A5F96">
        <w:rPr>
          <w:rFonts w:ascii="Times New Roman" w:hAnsi="Times New Roman" w:cs="Times New Roman"/>
          <w:b/>
          <w:sz w:val="24"/>
          <w:szCs w:val="24"/>
          <w:lang w:val="uk-UA"/>
        </w:rPr>
        <w:t>Ліміт та поширеність перевищення рівня алкоголю серед водіїв країн Європи</w:t>
      </w:r>
    </w:p>
    <w:tbl>
      <w:tblPr>
        <w:tblStyle w:val="a7"/>
        <w:tblW w:w="4945" w:type="pct"/>
        <w:tblInd w:w="108" w:type="dxa"/>
        <w:tblLook w:val="04A0" w:firstRow="1" w:lastRow="0" w:firstColumn="1" w:lastColumn="0" w:noHBand="0" w:noVBand="1"/>
      </w:tblPr>
      <w:tblGrid>
        <w:gridCol w:w="3818"/>
        <w:gridCol w:w="2965"/>
        <w:gridCol w:w="2963"/>
      </w:tblGrid>
      <w:tr w:rsidR="000A5F96" w:rsidRPr="00881A75" w:rsidTr="00634A8A">
        <w:tc>
          <w:tcPr>
            <w:tcW w:w="1959" w:type="pct"/>
            <w:vAlign w:val="center"/>
          </w:tcPr>
          <w:p w:rsidR="000A5F96" w:rsidRPr="00634A8A" w:rsidRDefault="000A5F96" w:rsidP="00634A8A">
            <w:pPr>
              <w:jc w:val="center"/>
              <w:rPr>
                <w:rFonts w:ascii="Times New Roman" w:hAnsi="Times New Roman" w:cs="Times New Roman"/>
                <w:b/>
                <w:sz w:val="24"/>
                <w:szCs w:val="24"/>
                <w:lang w:val="uk-UA"/>
              </w:rPr>
            </w:pPr>
            <w:r w:rsidRPr="00634A8A">
              <w:rPr>
                <w:rFonts w:ascii="Times New Roman" w:hAnsi="Times New Roman" w:cs="Times New Roman"/>
                <w:b/>
                <w:sz w:val="24"/>
                <w:szCs w:val="24"/>
                <w:lang w:val="uk-UA"/>
              </w:rPr>
              <w:t>Країна ЄС</w:t>
            </w:r>
          </w:p>
        </w:tc>
        <w:tc>
          <w:tcPr>
            <w:tcW w:w="1521" w:type="pct"/>
            <w:vAlign w:val="center"/>
          </w:tcPr>
          <w:p w:rsidR="000A5F96" w:rsidRPr="00634A8A" w:rsidRDefault="000A5F96" w:rsidP="00634A8A">
            <w:pPr>
              <w:jc w:val="center"/>
              <w:rPr>
                <w:rFonts w:ascii="Times New Roman" w:hAnsi="Times New Roman" w:cs="Times New Roman"/>
                <w:b/>
                <w:sz w:val="24"/>
                <w:szCs w:val="24"/>
                <w:lang w:val="uk-UA"/>
              </w:rPr>
            </w:pPr>
            <w:r w:rsidRPr="00634A8A">
              <w:rPr>
                <w:rFonts w:ascii="Times New Roman" w:hAnsi="Times New Roman" w:cs="Times New Roman"/>
                <w:b/>
                <w:sz w:val="24"/>
                <w:szCs w:val="24"/>
                <w:lang w:val="uk-UA"/>
              </w:rPr>
              <w:t>Ліміт рівня вмісту алкоголю в крові водія</w:t>
            </w:r>
          </w:p>
        </w:tc>
        <w:tc>
          <w:tcPr>
            <w:tcW w:w="1521" w:type="pct"/>
            <w:vAlign w:val="center"/>
          </w:tcPr>
          <w:p w:rsidR="000A5F96" w:rsidRPr="00634A8A" w:rsidRDefault="000A5F96" w:rsidP="00634A8A">
            <w:pPr>
              <w:jc w:val="center"/>
              <w:rPr>
                <w:rFonts w:ascii="Times New Roman" w:hAnsi="Times New Roman" w:cs="Times New Roman"/>
                <w:b/>
                <w:sz w:val="24"/>
                <w:szCs w:val="24"/>
                <w:lang w:val="uk-UA"/>
              </w:rPr>
            </w:pPr>
            <w:r w:rsidRPr="00634A8A">
              <w:rPr>
                <w:rFonts w:ascii="Times New Roman" w:hAnsi="Times New Roman" w:cs="Times New Roman"/>
                <w:b/>
                <w:sz w:val="24"/>
                <w:szCs w:val="24"/>
                <w:lang w:val="uk-UA"/>
              </w:rPr>
              <w:t>Поширеність перевищення рівня алкоголю серед водіїв (0,5 г/л і вище)</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t>Бельгія</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0,5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2,16%</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t>Чехія</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0,0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0,45%</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t>Данія</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0,5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0,48%</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t>Естонія</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0,5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1,62%</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t>Італія</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0,5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5,23%</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t>Литва</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0,4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2,31%</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lastRenderedPageBreak/>
              <w:t>Угорщина</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0,0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0,1%</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t>Нідерланди</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0,5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0,61%</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t>Польща</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0,2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0,58%</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t>Португалія</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0,5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1,22%</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t>Фінляндія</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0,5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0,26%</w:t>
            </w:r>
          </w:p>
        </w:tc>
      </w:tr>
      <w:tr w:rsidR="000A5F96" w:rsidRPr="00881A75" w:rsidTr="00634A8A">
        <w:tc>
          <w:tcPr>
            <w:tcW w:w="1959" w:type="pct"/>
          </w:tcPr>
          <w:p w:rsidR="000A5F96" w:rsidRPr="00634A8A" w:rsidRDefault="000A5F96" w:rsidP="000A5F96">
            <w:pPr>
              <w:jc w:val="both"/>
              <w:rPr>
                <w:rFonts w:ascii="Times New Roman" w:hAnsi="Times New Roman" w:cs="Times New Roman"/>
                <w:b/>
                <w:sz w:val="24"/>
                <w:szCs w:val="24"/>
                <w:lang w:val="uk-UA"/>
              </w:rPr>
            </w:pPr>
            <w:r w:rsidRPr="00634A8A">
              <w:rPr>
                <w:rFonts w:ascii="Times New Roman" w:hAnsi="Times New Roman" w:cs="Times New Roman"/>
                <w:b/>
                <w:sz w:val="24"/>
                <w:szCs w:val="24"/>
                <w:lang w:val="uk-UA"/>
              </w:rPr>
              <w:t>Норвегія</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0,2 г/л</w:t>
            </w:r>
          </w:p>
        </w:tc>
        <w:tc>
          <w:tcPr>
            <w:tcW w:w="1521" w:type="pct"/>
          </w:tcPr>
          <w:p w:rsidR="000A5F96" w:rsidRPr="006964A3" w:rsidRDefault="000A5F96" w:rsidP="00634A8A">
            <w:pPr>
              <w:jc w:val="center"/>
              <w:rPr>
                <w:rFonts w:ascii="Times New Roman" w:hAnsi="Times New Roman" w:cs="Times New Roman"/>
                <w:sz w:val="24"/>
                <w:szCs w:val="24"/>
                <w:lang w:val="uk-UA"/>
              </w:rPr>
            </w:pPr>
            <w:r w:rsidRPr="006964A3">
              <w:rPr>
                <w:rFonts w:ascii="Times New Roman" w:hAnsi="Times New Roman" w:cs="Times New Roman"/>
                <w:sz w:val="24"/>
                <w:szCs w:val="24"/>
                <w:lang w:val="uk-UA"/>
              </w:rPr>
              <w:t>0,06%</w:t>
            </w:r>
          </w:p>
        </w:tc>
      </w:tr>
    </w:tbl>
    <w:p w:rsidR="000A5F96" w:rsidRDefault="000A5F96" w:rsidP="001A481B">
      <w:pPr>
        <w:spacing w:after="0" w:line="360" w:lineRule="auto"/>
        <w:ind w:firstLine="709"/>
        <w:jc w:val="both"/>
        <w:rPr>
          <w:rFonts w:ascii="Times New Roman" w:hAnsi="Times New Roman" w:cs="Times New Roman"/>
          <w:sz w:val="28"/>
          <w:szCs w:val="28"/>
          <w:lang w:val="uk-UA"/>
        </w:rPr>
      </w:pPr>
    </w:p>
    <w:p w:rsidR="002E796B" w:rsidRPr="001A481B" w:rsidRDefault="002E796B" w:rsidP="001A481B">
      <w:pPr>
        <w:spacing w:after="0" w:line="360" w:lineRule="auto"/>
        <w:ind w:firstLine="709"/>
        <w:jc w:val="both"/>
        <w:rPr>
          <w:rFonts w:ascii="Times New Roman" w:hAnsi="Times New Roman" w:cs="Times New Roman"/>
          <w:sz w:val="28"/>
          <w:szCs w:val="28"/>
          <w:lang w:val="uk-UA"/>
        </w:rPr>
      </w:pPr>
      <w:r w:rsidRPr="002E796B">
        <w:rPr>
          <w:rFonts w:ascii="Times New Roman" w:hAnsi="Times New Roman" w:cs="Times New Roman"/>
          <w:sz w:val="28"/>
          <w:szCs w:val="28"/>
          <w:lang w:val="uk-UA"/>
        </w:rPr>
        <w:t>У деяких європейських країнах сума штрафів прив’язана до рівня доходів водія, але так чи інакше, перевищення проміле у крові загрожує нетверезій особі позбавленням волі до двох років. Так, у Німеччині перевищення до 0,5 ‰ тягне за собою лише адміністративну відповідальність і штраф, а понад 0,5 ‰ – кримінальну відповідальність та штраф. В Японії, для прикладу, до покарання за правопорушення, пов’язані з керуванням ТЗ у стані алкогольного сп’яніння притягаються навіть пасажири цього ТЗ (у разі їх наявності) за те, що не зупинили нетверезого водія. І саме в Японії був виписаний найбільший в історії штраф за водіння у нетверезому стані та ДТП з постраждалими – 2,5 </w:t>
      </w:r>
      <w:proofErr w:type="spellStart"/>
      <w:r w:rsidRPr="002E796B">
        <w:rPr>
          <w:rFonts w:ascii="Times New Roman" w:hAnsi="Times New Roman" w:cs="Times New Roman"/>
          <w:sz w:val="28"/>
          <w:szCs w:val="28"/>
          <w:lang w:val="uk-UA"/>
        </w:rPr>
        <w:t>млн</w:t>
      </w:r>
      <w:proofErr w:type="spellEnd"/>
      <w:r w:rsidRPr="002E796B">
        <w:rPr>
          <w:rFonts w:ascii="Times New Roman" w:hAnsi="Times New Roman" w:cs="Times New Roman"/>
          <w:sz w:val="28"/>
          <w:szCs w:val="28"/>
          <w:lang w:val="uk-UA"/>
        </w:rPr>
        <w:t xml:space="preserve"> доларів США</w:t>
      </w:r>
      <w:r>
        <w:rPr>
          <w:rFonts w:ascii="Times New Roman" w:hAnsi="Times New Roman" w:cs="Times New Roman"/>
          <w:sz w:val="28"/>
          <w:szCs w:val="28"/>
          <w:lang w:val="uk-UA"/>
        </w:rPr>
        <w:t xml:space="preserve"> [</w:t>
      </w:r>
      <w:r w:rsidR="00536678">
        <w:rPr>
          <w:rFonts w:ascii="Times New Roman" w:hAnsi="Times New Roman" w:cs="Times New Roman"/>
          <w:sz w:val="28"/>
          <w:szCs w:val="28"/>
          <w:lang w:val="uk-UA"/>
        </w:rPr>
        <w:t>5</w:t>
      </w:r>
      <w:r>
        <w:rPr>
          <w:rFonts w:ascii="Times New Roman" w:hAnsi="Times New Roman" w:cs="Times New Roman"/>
          <w:sz w:val="28"/>
          <w:szCs w:val="28"/>
          <w:lang w:val="uk-UA"/>
        </w:rPr>
        <w:t>]</w:t>
      </w:r>
      <w:r w:rsidRPr="002E796B">
        <w:rPr>
          <w:rFonts w:ascii="Times New Roman" w:hAnsi="Times New Roman" w:cs="Times New Roman"/>
          <w:sz w:val="28"/>
          <w:szCs w:val="28"/>
          <w:lang w:val="uk-UA"/>
        </w:rPr>
        <w:t>.</w:t>
      </w:r>
    </w:p>
    <w:p w:rsidR="00875834" w:rsidRDefault="00634A8A" w:rsidP="001A481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Законодавство Німеччини у Кримінальному кодексі містить норми, які </w:t>
      </w:r>
      <w:r w:rsidRPr="00634A8A">
        <w:rPr>
          <w:rFonts w:ascii="Times New Roman" w:hAnsi="Times New Roman" w:cs="Times New Roman"/>
          <w:sz w:val="28"/>
          <w:szCs w:val="28"/>
          <w:lang w:val="uk-UA"/>
        </w:rPr>
        <w:t>націлені на посилення відповідальності за небезпечне керування ТЗ під впливом алкогольного чи інших видів сп’яніння</w:t>
      </w:r>
      <w:r>
        <w:rPr>
          <w:rFonts w:ascii="Times New Roman" w:hAnsi="Times New Roman" w:cs="Times New Roman"/>
          <w:sz w:val="28"/>
          <w:szCs w:val="28"/>
          <w:lang w:val="uk-UA"/>
        </w:rPr>
        <w:t xml:space="preserve"> (</w:t>
      </w:r>
      <w:r w:rsidRPr="00634A8A">
        <w:rPr>
          <w:rFonts w:ascii="Times New Roman" w:hAnsi="Times New Roman" w:cs="Times New Roman"/>
          <w:sz w:val="28"/>
          <w:szCs w:val="28"/>
          <w:lang w:val="uk-UA"/>
        </w:rPr>
        <w:t>статті 315с, 316 та 323а</w:t>
      </w:r>
      <w:r>
        <w:rPr>
          <w:rFonts w:ascii="Times New Roman" w:hAnsi="Times New Roman" w:cs="Times New Roman"/>
          <w:sz w:val="28"/>
          <w:szCs w:val="28"/>
          <w:lang w:val="uk-UA"/>
        </w:rPr>
        <w:t>).</w:t>
      </w:r>
      <w:r w:rsidR="000E6811">
        <w:rPr>
          <w:rFonts w:ascii="Times New Roman" w:hAnsi="Times New Roman" w:cs="Times New Roman"/>
          <w:sz w:val="28"/>
          <w:szCs w:val="28"/>
          <w:lang w:val="uk-UA"/>
        </w:rPr>
        <w:t xml:space="preserve"> </w:t>
      </w:r>
      <w:r w:rsidR="000E6811" w:rsidRPr="000E6811">
        <w:rPr>
          <w:rFonts w:ascii="Times New Roman" w:hAnsi="Times New Roman" w:cs="Times New Roman"/>
          <w:sz w:val="28"/>
          <w:szCs w:val="28"/>
          <w:lang w:val="uk-UA"/>
        </w:rPr>
        <w:t>кожне з цих трьох кримінальних правопорушень також тягне за собою позбавлення права керування ТЗ. Таке вилучення є не кримінальним покаранням, а заходом безпеки. Цей захід діє на період від шести місяців до п’яти років. Після закінчення цього терміну особа повинна подати заяву на отримання нового водійського посвідчення та довести, що вона відповідає умовам, необхідним для його отримання</w:t>
      </w:r>
      <w:r w:rsidR="000E6811">
        <w:rPr>
          <w:rFonts w:ascii="Times New Roman" w:hAnsi="Times New Roman" w:cs="Times New Roman"/>
          <w:sz w:val="28"/>
          <w:szCs w:val="28"/>
          <w:lang w:val="uk-UA"/>
        </w:rPr>
        <w:t xml:space="preserve"> [</w:t>
      </w:r>
      <w:r w:rsidR="00536678">
        <w:rPr>
          <w:rFonts w:ascii="Times New Roman" w:hAnsi="Times New Roman" w:cs="Times New Roman"/>
          <w:sz w:val="28"/>
          <w:szCs w:val="28"/>
          <w:lang w:val="uk-UA"/>
        </w:rPr>
        <w:t>6</w:t>
      </w:r>
      <w:r w:rsidR="000E6811">
        <w:rPr>
          <w:rFonts w:ascii="Times New Roman" w:hAnsi="Times New Roman" w:cs="Times New Roman"/>
          <w:sz w:val="28"/>
          <w:szCs w:val="28"/>
          <w:lang w:val="uk-UA"/>
        </w:rPr>
        <w:t>]</w:t>
      </w:r>
      <w:r w:rsidR="000E6811" w:rsidRPr="000E6811">
        <w:rPr>
          <w:rFonts w:ascii="Times New Roman" w:hAnsi="Times New Roman" w:cs="Times New Roman"/>
          <w:sz w:val="28"/>
          <w:szCs w:val="28"/>
          <w:lang w:val="uk-UA"/>
        </w:rPr>
        <w:t>.</w:t>
      </w:r>
    </w:p>
    <w:p w:rsidR="00F6489B" w:rsidRPr="00F6489B" w:rsidRDefault="00F6489B" w:rsidP="00F6489B">
      <w:pPr>
        <w:spacing w:after="0" w:line="360" w:lineRule="auto"/>
        <w:ind w:firstLine="709"/>
        <w:jc w:val="both"/>
        <w:rPr>
          <w:rFonts w:ascii="Times New Roman" w:hAnsi="Times New Roman" w:cs="Times New Roman"/>
          <w:sz w:val="28"/>
          <w:szCs w:val="28"/>
          <w:lang w:val="uk-UA"/>
        </w:rPr>
      </w:pPr>
      <w:r w:rsidRPr="00F6489B">
        <w:rPr>
          <w:rFonts w:ascii="Times New Roman" w:hAnsi="Times New Roman" w:cs="Times New Roman"/>
          <w:sz w:val="28"/>
          <w:szCs w:val="28"/>
          <w:lang w:val="uk-UA"/>
        </w:rPr>
        <w:t>В Австралії, США деяких інших країнах світу існують заходи, які з метою запобігання керуванню ТЗ у стані сп’яніння поєднують юрисдикційні та технічні засоби. Таким заходом є примусове зобов’язання встановлення алкогольних блокувальних пристроїв (далі – АБП) у ТЗ правопорушників.</w:t>
      </w:r>
    </w:p>
    <w:p w:rsidR="00F6489B" w:rsidRPr="00F6489B" w:rsidRDefault="00F6489B" w:rsidP="00F6489B">
      <w:pPr>
        <w:spacing w:after="0" w:line="360" w:lineRule="auto"/>
        <w:ind w:firstLine="709"/>
        <w:jc w:val="both"/>
        <w:rPr>
          <w:rFonts w:ascii="Times New Roman" w:hAnsi="Times New Roman" w:cs="Times New Roman"/>
          <w:sz w:val="28"/>
          <w:szCs w:val="28"/>
          <w:lang w:val="uk-UA"/>
        </w:rPr>
      </w:pPr>
      <w:r w:rsidRPr="00F6489B">
        <w:rPr>
          <w:rFonts w:ascii="Times New Roman" w:hAnsi="Times New Roman" w:cs="Times New Roman"/>
          <w:sz w:val="28"/>
          <w:szCs w:val="28"/>
          <w:lang w:val="uk-UA"/>
        </w:rPr>
        <w:t xml:space="preserve">Багато штатів США вимагають від водіїв-правопорушників встановлювати пристрої блокування запалювання за їх власний рахунок. </w:t>
      </w:r>
      <w:r w:rsidRPr="00F6489B">
        <w:rPr>
          <w:rFonts w:ascii="Times New Roman" w:hAnsi="Times New Roman" w:cs="Times New Roman"/>
          <w:sz w:val="28"/>
          <w:szCs w:val="28"/>
          <w:lang w:val="uk-UA"/>
        </w:rPr>
        <w:lastRenderedPageBreak/>
        <w:t>Пристрій блокування запалювання – це пристрій для перевірки дихання, підключений до запалювання автомобіля. Автомобіль не зрушить з місця, якщо водій не дмухне у пристрій та не матиме за результатами тесту РВАК нижче попередньо встановленої нижньої дозволеної за законодавством штату межі, зазвичай 0,02 г/</w:t>
      </w:r>
      <w:proofErr w:type="spellStart"/>
      <w:r w:rsidRPr="00F6489B">
        <w:rPr>
          <w:rFonts w:ascii="Times New Roman" w:hAnsi="Times New Roman" w:cs="Times New Roman"/>
          <w:sz w:val="28"/>
          <w:szCs w:val="28"/>
          <w:lang w:val="uk-UA"/>
        </w:rPr>
        <w:t>дл</w:t>
      </w:r>
      <w:proofErr w:type="spellEnd"/>
      <w:r w:rsidRPr="00F6489B">
        <w:rPr>
          <w:rFonts w:ascii="Times New Roman" w:hAnsi="Times New Roman" w:cs="Times New Roman"/>
          <w:sz w:val="28"/>
          <w:szCs w:val="28"/>
          <w:lang w:val="uk-UA"/>
        </w:rPr>
        <w:t>. (‰). Національне управління безпекою руху на автомобільних дорогах США (</w:t>
      </w:r>
      <w:r w:rsidRPr="00F6489B">
        <w:rPr>
          <w:rFonts w:ascii="Times New Roman" w:hAnsi="Times New Roman" w:cs="Times New Roman"/>
          <w:i/>
          <w:sz w:val="28"/>
          <w:szCs w:val="28"/>
          <w:lang w:val="uk-UA"/>
        </w:rPr>
        <w:t>англ.</w:t>
      </w:r>
      <w:r w:rsidRPr="00F6489B">
        <w:rPr>
          <w:rFonts w:ascii="Times New Roman" w:hAnsi="Times New Roman" w:cs="Times New Roman"/>
          <w:sz w:val="28"/>
          <w:szCs w:val="28"/>
          <w:lang w:val="uk-UA"/>
        </w:rPr>
        <w:t xml:space="preserve"> </w:t>
      </w:r>
      <w:proofErr w:type="spellStart"/>
      <w:r w:rsidRPr="00F6489B">
        <w:rPr>
          <w:rFonts w:ascii="Times New Roman" w:hAnsi="Times New Roman" w:cs="Times New Roman"/>
          <w:i/>
          <w:sz w:val="28"/>
          <w:szCs w:val="28"/>
          <w:lang w:val="uk-UA"/>
        </w:rPr>
        <w:t>National</w:t>
      </w:r>
      <w:proofErr w:type="spellEnd"/>
      <w:r w:rsidRPr="00F6489B">
        <w:rPr>
          <w:rFonts w:ascii="Times New Roman" w:hAnsi="Times New Roman" w:cs="Times New Roman"/>
          <w:i/>
          <w:sz w:val="28"/>
          <w:szCs w:val="28"/>
          <w:lang w:val="uk-UA"/>
        </w:rPr>
        <w:t xml:space="preserve"> </w:t>
      </w:r>
      <w:proofErr w:type="spellStart"/>
      <w:r w:rsidRPr="00F6489B">
        <w:rPr>
          <w:rFonts w:ascii="Times New Roman" w:hAnsi="Times New Roman" w:cs="Times New Roman"/>
          <w:i/>
          <w:sz w:val="28"/>
          <w:szCs w:val="28"/>
          <w:lang w:val="uk-UA"/>
        </w:rPr>
        <w:t>Highway</w:t>
      </w:r>
      <w:proofErr w:type="spellEnd"/>
      <w:r w:rsidRPr="00F6489B">
        <w:rPr>
          <w:rFonts w:ascii="Times New Roman" w:hAnsi="Times New Roman" w:cs="Times New Roman"/>
          <w:i/>
          <w:sz w:val="28"/>
          <w:szCs w:val="28"/>
          <w:lang w:val="uk-UA"/>
        </w:rPr>
        <w:t xml:space="preserve"> </w:t>
      </w:r>
      <w:proofErr w:type="spellStart"/>
      <w:r w:rsidRPr="00F6489B">
        <w:rPr>
          <w:rFonts w:ascii="Times New Roman" w:hAnsi="Times New Roman" w:cs="Times New Roman"/>
          <w:i/>
          <w:sz w:val="28"/>
          <w:szCs w:val="28"/>
          <w:lang w:val="uk-UA"/>
        </w:rPr>
        <w:t>Traffic</w:t>
      </w:r>
      <w:proofErr w:type="spellEnd"/>
      <w:r w:rsidRPr="00F6489B">
        <w:rPr>
          <w:rFonts w:ascii="Times New Roman" w:hAnsi="Times New Roman" w:cs="Times New Roman"/>
          <w:i/>
          <w:sz w:val="28"/>
          <w:szCs w:val="28"/>
          <w:lang w:val="uk-UA"/>
        </w:rPr>
        <w:t xml:space="preserve"> </w:t>
      </w:r>
      <w:proofErr w:type="spellStart"/>
      <w:r w:rsidRPr="00F6489B">
        <w:rPr>
          <w:rFonts w:ascii="Times New Roman" w:hAnsi="Times New Roman" w:cs="Times New Roman"/>
          <w:i/>
          <w:sz w:val="28"/>
          <w:szCs w:val="28"/>
          <w:lang w:val="uk-UA"/>
        </w:rPr>
        <w:t>Safety</w:t>
      </w:r>
      <w:proofErr w:type="spellEnd"/>
      <w:r w:rsidRPr="00F6489B">
        <w:rPr>
          <w:rFonts w:ascii="Times New Roman" w:hAnsi="Times New Roman" w:cs="Times New Roman"/>
          <w:i/>
          <w:sz w:val="28"/>
          <w:szCs w:val="28"/>
          <w:lang w:val="uk-UA"/>
        </w:rPr>
        <w:t xml:space="preserve"> </w:t>
      </w:r>
      <w:proofErr w:type="spellStart"/>
      <w:r w:rsidRPr="00F6489B">
        <w:rPr>
          <w:rFonts w:ascii="Times New Roman" w:hAnsi="Times New Roman" w:cs="Times New Roman"/>
          <w:i/>
          <w:sz w:val="28"/>
          <w:szCs w:val="28"/>
          <w:lang w:val="uk-UA"/>
        </w:rPr>
        <w:t>Administration</w:t>
      </w:r>
      <w:proofErr w:type="spellEnd"/>
      <w:r w:rsidRPr="00F6489B">
        <w:rPr>
          <w:rFonts w:ascii="Times New Roman" w:hAnsi="Times New Roman" w:cs="Times New Roman"/>
          <w:sz w:val="28"/>
          <w:szCs w:val="28"/>
          <w:lang w:val="uk-UA"/>
        </w:rPr>
        <w:t xml:space="preserve"> </w:t>
      </w:r>
      <w:r w:rsidRPr="00F6489B">
        <w:rPr>
          <w:rFonts w:ascii="Times New Roman" w:hAnsi="Times New Roman" w:cs="Times New Roman"/>
          <w:i/>
          <w:sz w:val="28"/>
          <w:szCs w:val="28"/>
          <w:lang w:val="uk-UA"/>
        </w:rPr>
        <w:t>– NHTSA</w:t>
      </w:r>
      <w:r w:rsidRPr="00F6489B">
        <w:rPr>
          <w:rFonts w:ascii="Times New Roman" w:hAnsi="Times New Roman" w:cs="Times New Roman"/>
          <w:sz w:val="28"/>
          <w:szCs w:val="28"/>
          <w:lang w:val="uk-UA"/>
        </w:rPr>
        <w:t>) рішуче підтримує розширення блокувань запалювання як перевіреної технології, яка утримує водіїв від керування ТЗ у стані алкогольного сп’яніння.</w:t>
      </w:r>
    </w:p>
    <w:p w:rsidR="00F6489B" w:rsidRPr="00F6489B" w:rsidRDefault="00F6489B" w:rsidP="00F6489B">
      <w:pPr>
        <w:spacing w:after="0" w:line="360" w:lineRule="auto"/>
        <w:ind w:firstLine="709"/>
        <w:jc w:val="both"/>
        <w:rPr>
          <w:rFonts w:ascii="Times New Roman" w:hAnsi="Times New Roman" w:cs="Times New Roman"/>
          <w:sz w:val="28"/>
          <w:szCs w:val="28"/>
          <w:lang w:val="uk-UA"/>
        </w:rPr>
      </w:pPr>
      <w:r w:rsidRPr="00F6489B">
        <w:rPr>
          <w:rFonts w:ascii="Times New Roman" w:hAnsi="Times New Roman" w:cs="Times New Roman"/>
          <w:sz w:val="28"/>
          <w:szCs w:val="28"/>
          <w:lang w:val="uk-UA"/>
        </w:rPr>
        <w:t>АБП («</w:t>
      </w:r>
      <w:proofErr w:type="spellStart"/>
      <w:r w:rsidRPr="00F6489B">
        <w:rPr>
          <w:rFonts w:ascii="Times New Roman" w:hAnsi="Times New Roman" w:cs="Times New Roman"/>
          <w:sz w:val="28"/>
          <w:szCs w:val="28"/>
          <w:lang w:val="uk-UA"/>
        </w:rPr>
        <w:t>автозамки</w:t>
      </w:r>
      <w:proofErr w:type="spellEnd"/>
      <w:r w:rsidRPr="00F6489B">
        <w:rPr>
          <w:rFonts w:ascii="Times New Roman" w:hAnsi="Times New Roman" w:cs="Times New Roman"/>
          <w:sz w:val="28"/>
          <w:szCs w:val="28"/>
          <w:lang w:val="uk-UA"/>
        </w:rPr>
        <w:t>») використовуються у штаті Вікторія (Австралія) з 2002 року для правопорушників, притягнутих до юридичної відповідальності (засуджених) за керування ТЗ у стані сп’яніння зі вмістом алкоголю в крові понад 0,15 ‰. Призначення примусового обладнання ТЗ АБП у штаті Вікторія є дискреційним для тих, хто вперше порушив закон (мається на увазі керування у стані сп’яніння), і обов’язковим для повторних правопорушників</w:t>
      </w:r>
      <w:r>
        <w:rPr>
          <w:rFonts w:ascii="Times New Roman" w:hAnsi="Times New Roman" w:cs="Times New Roman"/>
          <w:sz w:val="28"/>
          <w:szCs w:val="28"/>
          <w:lang w:val="uk-UA"/>
        </w:rPr>
        <w:t xml:space="preserve"> [</w:t>
      </w:r>
      <w:r w:rsidR="00536678">
        <w:rPr>
          <w:rFonts w:ascii="Times New Roman" w:hAnsi="Times New Roman" w:cs="Times New Roman"/>
          <w:sz w:val="28"/>
          <w:szCs w:val="28"/>
          <w:lang w:val="uk-UA"/>
        </w:rPr>
        <w:t>7</w:t>
      </w:r>
      <w:r>
        <w:rPr>
          <w:rFonts w:ascii="Times New Roman" w:hAnsi="Times New Roman" w:cs="Times New Roman"/>
          <w:sz w:val="28"/>
          <w:szCs w:val="28"/>
          <w:lang w:val="uk-UA"/>
        </w:rPr>
        <w:t>]</w:t>
      </w:r>
      <w:r w:rsidRPr="00F6489B">
        <w:rPr>
          <w:rFonts w:ascii="Times New Roman" w:hAnsi="Times New Roman" w:cs="Times New Roman"/>
          <w:sz w:val="28"/>
          <w:szCs w:val="28"/>
          <w:lang w:val="uk-UA"/>
        </w:rPr>
        <w:t>.</w:t>
      </w:r>
    </w:p>
    <w:p w:rsidR="00536678" w:rsidRPr="00536678" w:rsidRDefault="00536678" w:rsidP="00536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н</w:t>
      </w:r>
      <w:r w:rsidRPr="00536678">
        <w:rPr>
          <w:rFonts w:ascii="Times New Roman" w:hAnsi="Times New Roman" w:cs="Times New Roman"/>
          <w:sz w:val="28"/>
          <w:szCs w:val="28"/>
          <w:lang w:val="uk-UA"/>
        </w:rPr>
        <w:t>а прикладі розглянутого законодавства деяких європейських країн (Великої Британії та Німеччини), Австралії та частково США маємо нагоду побачити, що особа яка керувала ТЗ у стані сп’яніння може нести як адміністративну, так і кримінальну відповідальність. Санкції за подібні правопорушення передбачають не лише штрафи та позбавлення права керування ТЗ, а й позбавлення волі на певні строки (від 6 місяців до 5 років), залежно від кваліфікації та тяжкості вчиненого правопорушення. Крім того, серед можливих заходів законодавство деяких держав передбачає призначення примусового обладнання ТЗ правопорушника алкогольним блокувальним пристроєм або проходження обов’язкових відновлювальних чи реабілітаційних програм (так звана «терапевтична юриспруденція») тощо.</w:t>
      </w:r>
    </w:p>
    <w:p w:rsidR="00634A8A" w:rsidRPr="001A481B" w:rsidRDefault="00634A8A" w:rsidP="001A481B">
      <w:pPr>
        <w:spacing w:after="0" w:line="360" w:lineRule="auto"/>
        <w:ind w:firstLine="709"/>
        <w:jc w:val="both"/>
        <w:rPr>
          <w:rFonts w:ascii="Times New Roman" w:hAnsi="Times New Roman" w:cs="Times New Roman"/>
          <w:sz w:val="28"/>
          <w:szCs w:val="28"/>
          <w:lang w:val="uk-UA"/>
        </w:rPr>
      </w:pPr>
    </w:p>
    <w:p w:rsidR="00191179" w:rsidRPr="00191179" w:rsidRDefault="00191179" w:rsidP="00191179">
      <w:pPr>
        <w:spacing w:after="0" w:line="360" w:lineRule="auto"/>
        <w:jc w:val="center"/>
        <w:rPr>
          <w:rFonts w:ascii="Times New Roman" w:hAnsi="Times New Roman" w:cs="Times New Roman"/>
          <w:b/>
          <w:color w:val="333333"/>
          <w:sz w:val="28"/>
          <w:szCs w:val="28"/>
          <w:shd w:val="clear" w:color="auto" w:fill="FFFFFF"/>
          <w:lang w:val="uk-UA"/>
        </w:rPr>
      </w:pPr>
      <w:r w:rsidRPr="00191179">
        <w:rPr>
          <w:rFonts w:ascii="Times New Roman" w:hAnsi="Times New Roman" w:cs="Times New Roman"/>
          <w:b/>
          <w:color w:val="333333"/>
          <w:sz w:val="28"/>
          <w:szCs w:val="28"/>
          <w:shd w:val="clear" w:color="auto" w:fill="FFFFFF"/>
          <w:lang w:val="uk-UA"/>
        </w:rPr>
        <w:t>С</w:t>
      </w:r>
      <w:r w:rsidRPr="00191179">
        <w:rPr>
          <w:rFonts w:ascii="Times New Roman" w:hAnsi="Times New Roman" w:cs="Times New Roman"/>
          <w:b/>
          <w:color w:val="333333"/>
          <w:sz w:val="28"/>
          <w:szCs w:val="28"/>
          <w:shd w:val="clear" w:color="auto" w:fill="FFFFFF"/>
          <w:lang w:val="uk-UA"/>
        </w:rPr>
        <w:t>писок використаних джерел</w:t>
      </w:r>
    </w:p>
    <w:p w:rsidR="00536678" w:rsidRPr="00536678" w:rsidRDefault="00536678" w:rsidP="00536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1. </w:t>
      </w:r>
      <w:r w:rsidRPr="00536678">
        <w:rPr>
          <w:rFonts w:ascii="Times New Roman" w:hAnsi="Times New Roman" w:cs="Times New Roman"/>
          <w:sz w:val="28"/>
          <w:szCs w:val="28"/>
          <w:lang w:val="uk-UA"/>
        </w:rPr>
        <w:t>Біла книга цивільного захисту України: інформаційне видання / Державна служба України з надзвичайних ситуацій, Інституту державного управління та наукових досліджень з цивільного захисту. Київ, 2023.</w:t>
      </w:r>
      <w:r w:rsidRPr="00536678">
        <w:rPr>
          <w:rFonts w:ascii="Times New Roman" w:hAnsi="Times New Roman" w:cs="Times New Roman"/>
          <w:sz w:val="28"/>
          <w:szCs w:val="28"/>
        </w:rPr>
        <w:t xml:space="preserve"> 271</w:t>
      </w:r>
      <w:r w:rsidRPr="00536678">
        <w:rPr>
          <w:rFonts w:ascii="Times New Roman" w:hAnsi="Times New Roman" w:cs="Times New Roman"/>
          <w:sz w:val="28"/>
          <w:szCs w:val="28"/>
          <w:lang w:val="uk-UA"/>
        </w:rPr>
        <w:t> </w:t>
      </w:r>
      <w:r w:rsidRPr="00536678">
        <w:rPr>
          <w:rFonts w:ascii="Times New Roman" w:hAnsi="Times New Roman" w:cs="Times New Roman"/>
          <w:sz w:val="28"/>
          <w:szCs w:val="28"/>
        </w:rPr>
        <w:t>с.</w:t>
      </w:r>
    </w:p>
    <w:p w:rsidR="00536678" w:rsidRPr="00536678" w:rsidRDefault="00536678" w:rsidP="00536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Pr="00536678">
        <w:rPr>
          <w:rFonts w:ascii="Times New Roman" w:hAnsi="Times New Roman" w:cs="Times New Roman"/>
          <w:sz w:val="28"/>
          <w:szCs w:val="28"/>
          <w:lang w:val="uk-UA"/>
        </w:rPr>
        <w:t>Статистика ДТП в Україні за період з 01.01.2023 по 30.09.2023: DTP 09-2023 / Сайт Патрульної поліції України. URL: https://patrolpolice.gov.ua/statystyka/ (дата звернення: 31.10.2023).</w:t>
      </w:r>
    </w:p>
    <w:p w:rsidR="00536678" w:rsidRPr="00536678" w:rsidRDefault="00536678" w:rsidP="00536678">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lang w:val="uk-UA"/>
        </w:rPr>
        <w:t>3. </w:t>
      </w:r>
      <w:proofErr w:type="spellStart"/>
      <w:r w:rsidRPr="00536678">
        <w:rPr>
          <w:rFonts w:ascii="Times New Roman" w:hAnsi="Times New Roman" w:cs="Times New Roman"/>
          <w:bCs/>
          <w:sz w:val="28"/>
          <w:szCs w:val="28"/>
        </w:rPr>
        <w:t>Конвенція</w:t>
      </w:r>
      <w:proofErr w:type="spellEnd"/>
      <w:r w:rsidRPr="00536678">
        <w:rPr>
          <w:rFonts w:ascii="Times New Roman" w:hAnsi="Times New Roman" w:cs="Times New Roman"/>
          <w:bCs/>
          <w:sz w:val="28"/>
          <w:szCs w:val="28"/>
        </w:rPr>
        <w:t xml:space="preserve"> про </w:t>
      </w:r>
      <w:proofErr w:type="spellStart"/>
      <w:r w:rsidRPr="00536678">
        <w:rPr>
          <w:rFonts w:ascii="Times New Roman" w:hAnsi="Times New Roman" w:cs="Times New Roman"/>
          <w:bCs/>
          <w:sz w:val="28"/>
          <w:szCs w:val="28"/>
        </w:rPr>
        <w:t>дорожній</w:t>
      </w:r>
      <w:proofErr w:type="spellEnd"/>
      <w:r w:rsidRPr="00536678">
        <w:rPr>
          <w:rFonts w:ascii="Times New Roman" w:hAnsi="Times New Roman" w:cs="Times New Roman"/>
          <w:bCs/>
          <w:sz w:val="28"/>
          <w:szCs w:val="28"/>
        </w:rPr>
        <w:t xml:space="preserve"> </w:t>
      </w:r>
      <w:proofErr w:type="spellStart"/>
      <w:r w:rsidRPr="00536678">
        <w:rPr>
          <w:rFonts w:ascii="Times New Roman" w:hAnsi="Times New Roman" w:cs="Times New Roman"/>
          <w:bCs/>
          <w:sz w:val="28"/>
          <w:szCs w:val="28"/>
        </w:rPr>
        <w:t>рух</w:t>
      </w:r>
      <w:proofErr w:type="spellEnd"/>
      <w:r w:rsidRPr="00536678">
        <w:rPr>
          <w:rFonts w:ascii="Times New Roman" w:hAnsi="Times New Roman" w:cs="Times New Roman"/>
          <w:bCs/>
          <w:sz w:val="28"/>
          <w:szCs w:val="28"/>
        </w:rPr>
        <w:t xml:space="preserve">: </w:t>
      </w:r>
      <w:proofErr w:type="spellStart"/>
      <w:r w:rsidRPr="00536678">
        <w:rPr>
          <w:rFonts w:ascii="Times New Roman" w:hAnsi="Times New Roman" w:cs="Times New Roman"/>
          <w:bCs/>
          <w:sz w:val="28"/>
          <w:szCs w:val="28"/>
        </w:rPr>
        <w:t>Міжнародний</w:t>
      </w:r>
      <w:proofErr w:type="spellEnd"/>
      <w:r w:rsidRPr="00536678">
        <w:rPr>
          <w:rFonts w:ascii="Times New Roman" w:hAnsi="Times New Roman" w:cs="Times New Roman"/>
          <w:bCs/>
          <w:sz w:val="28"/>
          <w:szCs w:val="28"/>
        </w:rPr>
        <w:t xml:space="preserve"> документ ООН </w:t>
      </w:r>
      <w:proofErr w:type="spellStart"/>
      <w:r w:rsidRPr="00536678">
        <w:rPr>
          <w:rFonts w:ascii="Times New Roman" w:hAnsi="Times New Roman" w:cs="Times New Roman"/>
          <w:bCs/>
          <w:sz w:val="28"/>
          <w:szCs w:val="28"/>
        </w:rPr>
        <w:t>від</w:t>
      </w:r>
      <w:proofErr w:type="spellEnd"/>
      <w:r w:rsidRPr="00536678">
        <w:rPr>
          <w:rFonts w:ascii="Times New Roman" w:hAnsi="Times New Roman" w:cs="Times New Roman"/>
          <w:bCs/>
          <w:sz w:val="28"/>
          <w:szCs w:val="28"/>
        </w:rPr>
        <w:t xml:space="preserve"> 08.11.1968 р. </w:t>
      </w:r>
      <w:proofErr w:type="spellStart"/>
      <w:proofErr w:type="gramStart"/>
      <w:r w:rsidRPr="00536678">
        <w:rPr>
          <w:rFonts w:ascii="Times New Roman" w:hAnsi="Times New Roman" w:cs="Times New Roman"/>
          <w:bCs/>
          <w:sz w:val="28"/>
          <w:szCs w:val="28"/>
        </w:rPr>
        <w:t>З</w:t>
      </w:r>
      <w:proofErr w:type="gramEnd"/>
      <w:r w:rsidRPr="00536678">
        <w:rPr>
          <w:rFonts w:ascii="Times New Roman" w:hAnsi="Times New Roman" w:cs="Times New Roman"/>
          <w:bCs/>
          <w:sz w:val="28"/>
          <w:szCs w:val="28"/>
        </w:rPr>
        <w:t>і</w:t>
      </w:r>
      <w:proofErr w:type="spellEnd"/>
      <w:r w:rsidRPr="00536678">
        <w:rPr>
          <w:rFonts w:ascii="Times New Roman" w:hAnsi="Times New Roman" w:cs="Times New Roman"/>
          <w:bCs/>
          <w:sz w:val="28"/>
          <w:szCs w:val="28"/>
        </w:rPr>
        <w:t xml:space="preserve"> </w:t>
      </w:r>
      <w:proofErr w:type="spellStart"/>
      <w:r w:rsidRPr="00536678">
        <w:rPr>
          <w:rFonts w:ascii="Times New Roman" w:hAnsi="Times New Roman" w:cs="Times New Roman"/>
          <w:bCs/>
          <w:sz w:val="28"/>
          <w:szCs w:val="28"/>
        </w:rPr>
        <w:t>змін</w:t>
      </w:r>
      <w:proofErr w:type="spellEnd"/>
      <w:r w:rsidRPr="00536678">
        <w:rPr>
          <w:rFonts w:ascii="Times New Roman" w:hAnsi="Times New Roman" w:cs="Times New Roman"/>
          <w:bCs/>
          <w:sz w:val="28"/>
          <w:szCs w:val="28"/>
        </w:rPr>
        <w:t xml:space="preserve">. та </w:t>
      </w:r>
      <w:proofErr w:type="spellStart"/>
      <w:r w:rsidRPr="00536678">
        <w:rPr>
          <w:rFonts w:ascii="Times New Roman" w:hAnsi="Times New Roman" w:cs="Times New Roman"/>
          <w:bCs/>
          <w:sz w:val="28"/>
          <w:szCs w:val="28"/>
        </w:rPr>
        <w:t>доповн</w:t>
      </w:r>
      <w:proofErr w:type="spellEnd"/>
      <w:r w:rsidRPr="00536678">
        <w:rPr>
          <w:rFonts w:ascii="Times New Roman" w:hAnsi="Times New Roman" w:cs="Times New Roman"/>
          <w:bCs/>
          <w:sz w:val="28"/>
          <w:szCs w:val="28"/>
        </w:rPr>
        <w:t xml:space="preserve">., </w:t>
      </w:r>
      <w:proofErr w:type="spellStart"/>
      <w:r w:rsidRPr="00536678">
        <w:rPr>
          <w:rFonts w:ascii="Times New Roman" w:hAnsi="Times New Roman" w:cs="Times New Roman"/>
          <w:bCs/>
          <w:sz w:val="28"/>
          <w:szCs w:val="28"/>
        </w:rPr>
        <w:t>внесеними</w:t>
      </w:r>
      <w:proofErr w:type="spellEnd"/>
      <w:r w:rsidRPr="00536678">
        <w:rPr>
          <w:rFonts w:ascii="Times New Roman" w:hAnsi="Times New Roman" w:cs="Times New Roman"/>
          <w:bCs/>
          <w:sz w:val="28"/>
          <w:szCs w:val="28"/>
        </w:rPr>
        <w:t xml:space="preserve"> </w:t>
      </w:r>
      <w:proofErr w:type="spellStart"/>
      <w:r w:rsidRPr="00536678">
        <w:rPr>
          <w:rFonts w:ascii="Times New Roman" w:hAnsi="Times New Roman" w:cs="Times New Roman"/>
          <w:bCs/>
          <w:sz w:val="28"/>
          <w:szCs w:val="28"/>
        </w:rPr>
        <w:t>Європейською</w:t>
      </w:r>
      <w:proofErr w:type="spellEnd"/>
      <w:r w:rsidRPr="00536678">
        <w:rPr>
          <w:rFonts w:ascii="Times New Roman" w:hAnsi="Times New Roman" w:cs="Times New Roman"/>
          <w:bCs/>
          <w:sz w:val="28"/>
          <w:szCs w:val="28"/>
        </w:rPr>
        <w:t xml:space="preserve"> </w:t>
      </w:r>
      <w:proofErr w:type="spellStart"/>
      <w:r w:rsidRPr="00536678">
        <w:rPr>
          <w:rFonts w:ascii="Times New Roman" w:hAnsi="Times New Roman" w:cs="Times New Roman"/>
          <w:bCs/>
          <w:sz w:val="28"/>
          <w:szCs w:val="28"/>
        </w:rPr>
        <w:t>угодою</w:t>
      </w:r>
      <w:proofErr w:type="spellEnd"/>
      <w:r w:rsidRPr="00536678">
        <w:rPr>
          <w:rFonts w:ascii="Times New Roman" w:hAnsi="Times New Roman" w:cs="Times New Roman"/>
          <w:bCs/>
          <w:sz w:val="28"/>
          <w:szCs w:val="28"/>
        </w:rPr>
        <w:t xml:space="preserve"> </w:t>
      </w:r>
      <w:proofErr w:type="spellStart"/>
      <w:r w:rsidRPr="00536678">
        <w:rPr>
          <w:rFonts w:ascii="Times New Roman" w:hAnsi="Times New Roman" w:cs="Times New Roman"/>
          <w:bCs/>
          <w:sz w:val="28"/>
          <w:szCs w:val="28"/>
        </w:rPr>
        <w:t>від</w:t>
      </w:r>
      <w:proofErr w:type="spellEnd"/>
      <w:r w:rsidRPr="00536678">
        <w:rPr>
          <w:rFonts w:ascii="Times New Roman" w:hAnsi="Times New Roman" w:cs="Times New Roman"/>
          <w:bCs/>
          <w:sz w:val="28"/>
          <w:szCs w:val="28"/>
        </w:rPr>
        <w:t xml:space="preserve"> 01.05.1971 р., поправками </w:t>
      </w:r>
      <w:proofErr w:type="spellStart"/>
      <w:r w:rsidRPr="00536678">
        <w:rPr>
          <w:rFonts w:ascii="Times New Roman" w:hAnsi="Times New Roman" w:cs="Times New Roman"/>
          <w:bCs/>
          <w:sz w:val="28"/>
          <w:szCs w:val="28"/>
        </w:rPr>
        <w:t>від</w:t>
      </w:r>
      <w:proofErr w:type="spellEnd"/>
      <w:r w:rsidRPr="00536678">
        <w:rPr>
          <w:rFonts w:ascii="Times New Roman" w:hAnsi="Times New Roman" w:cs="Times New Roman"/>
          <w:bCs/>
          <w:sz w:val="28"/>
          <w:szCs w:val="28"/>
        </w:rPr>
        <w:t xml:space="preserve"> 28.09.2004 р. URL: http://search.ligazakon.ua/l_doc2.nsf/link1/MU70K01U.html</w:t>
      </w:r>
      <w:r>
        <w:rPr>
          <w:rFonts w:ascii="Times New Roman" w:hAnsi="Times New Roman" w:cs="Times New Roman"/>
          <w:bCs/>
          <w:sz w:val="28"/>
          <w:szCs w:val="28"/>
          <w:lang w:val="uk-UA"/>
        </w:rPr>
        <w:t xml:space="preserve"> </w:t>
      </w:r>
      <w:r w:rsidRPr="00536678">
        <w:rPr>
          <w:rFonts w:ascii="Times New Roman" w:hAnsi="Times New Roman" w:cs="Times New Roman"/>
          <w:sz w:val="28"/>
          <w:szCs w:val="28"/>
          <w:lang w:val="uk-UA"/>
        </w:rPr>
        <w:t>(дата звернення: 31.10.2023)</w:t>
      </w:r>
      <w:r w:rsidRPr="00536678">
        <w:rPr>
          <w:rFonts w:ascii="Times New Roman" w:hAnsi="Times New Roman" w:cs="Times New Roman"/>
          <w:bCs/>
          <w:sz w:val="28"/>
          <w:szCs w:val="28"/>
        </w:rPr>
        <w:t>.</w:t>
      </w:r>
    </w:p>
    <w:p w:rsidR="00536678" w:rsidRDefault="00536678" w:rsidP="00536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w:t>
      </w:r>
      <w:proofErr w:type="spellStart"/>
      <w:proofErr w:type="gramStart"/>
      <w:r w:rsidRPr="00536678">
        <w:rPr>
          <w:rFonts w:ascii="Times New Roman" w:hAnsi="Times New Roman" w:cs="Times New Roman"/>
          <w:sz w:val="28"/>
          <w:szCs w:val="28"/>
          <w:lang w:val="en-US"/>
        </w:rPr>
        <w:t>Ecorys</w:t>
      </w:r>
      <w:proofErr w:type="spellEnd"/>
      <w:r w:rsidRPr="00536678">
        <w:rPr>
          <w:rFonts w:ascii="Times New Roman" w:hAnsi="Times New Roman" w:cs="Times New Roman"/>
          <w:sz w:val="28"/>
          <w:szCs w:val="28"/>
          <w:lang w:val="en-US"/>
        </w:rPr>
        <w:t>.</w:t>
      </w:r>
      <w:proofErr w:type="gramEnd"/>
      <w:r w:rsidRPr="00536678">
        <w:rPr>
          <w:rFonts w:ascii="Times New Roman" w:hAnsi="Times New Roman" w:cs="Times New Roman"/>
          <w:sz w:val="28"/>
          <w:szCs w:val="28"/>
          <w:lang w:val="en-US"/>
        </w:rPr>
        <w:t xml:space="preserve"> (2014). Study on the prevention of drink-driving by the use of alcohol interlock devices. </w:t>
      </w:r>
      <w:proofErr w:type="gramStart"/>
      <w:r w:rsidRPr="00536678">
        <w:rPr>
          <w:rFonts w:ascii="Times New Roman" w:hAnsi="Times New Roman" w:cs="Times New Roman"/>
          <w:sz w:val="28"/>
          <w:szCs w:val="28"/>
          <w:lang w:val="en-US"/>
        </w:rPr>
        <w:t>Final Report.</w:t>
      </w:r>
      <w:proofErr w:type="gramEnd"/>
      <w:r w:rsidRPr="00536678">
        <w:rPr>
          <w:rFonts w:ascii="Times New Roman" w:hAnsi="Times New Roman" w:cs="Times New Roman"/>
          <w:sz w:val="28"/>
          <w:szCs w:val="28"/>
          <w:lang w:val="en-US"/>
        </w:rPr>
        <w:t xml:space="preserve"> Client: European Commission, DG for Mobility and Transport. </w:t>
      </w:r>
      <w:proofErr w:type="gramStart"/>
      <w:r w:rsidRPr="00536678">
        <w:rPr>
          <w:rFonts w:ascii="Times New Roman" w:hAnsi="Times New Roman" w:cs="Times New Roman"/>
          <w:sz w:val="28"/>
          <w:szCs w:val="28"/>
          <w:lang w:val="en-US"/>
        </w:rPr>
        <w:t>Rotterdam, 166.</w:t>
      </w:r>
      <w:proofErr w:type="gramEnd"/>
    </w:p>
    <w:p w:rsidR="00536678" w:rsidRPr="00536678" w:rsidRDefault="00536678" w:rsidP="00536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002E10D3" w:rsidRPr="002E10D3">
        <w:rPr>
          <w:rFonts w:ascii="Times New Roman" w:hAnsi="Times New Roman" w:cs="Times New Roman"/>
          <w:bCs/>
          <w:sz w:val="28"/>
          <w:szCs w:val="28"/>
          <w:lang w:val="uk-UA"/>
        </w:rPr>
        <w:t xml:space="preserve">Юридична відповідальність за керування транспортними засобами у стані сп’яніння: проблеми та шляхи удосконалення правового регулювання : монографія / </w:t>
      </w:r>
      <w:proofErr w:type="spellStart"/>
      <w:r w:rsidR="002E10D3" w:rsidRPr="002E10D3">
        <w:rPr>
          <w:rFonts w:ascii="Times New Roman" w:hAnsi="Times New Roman" w:cs="Times New Roman"/>
          <w:bCs/>
          <w:sz w:val="28"/>
          <w:szCs w:val="28"/>
          <w:lang w:val="uk-UA"/>
        </w:rPr>
        <w:t>С. С. Вітвіць</w:t>
      </w:r>
      <w:proofErr w:type="spellEnd"/>
      <w:r w:rsidR="002E10D3" w:rsidRPr="002E10D3">
        <w:rPr>
          <w:rFonts w:ascii="Times New Roman" w:hAnsi="Times New Roman" w:cs="Times New Roman"/>
          <w:bCs/>
          <w:sz w:val="28"/>
          <w:szCs w:val="28"/>
          <w:lang w:val="uk-UA"/>
        </w:rPr>
        <w:t xml:space="preserve">кий, </w:t>
      </w:r>
      <w:proofErr w:type="spellStart"/>
      <w:r w:rsidR="002E10D3" w:rsidRPr="002E10D3">
        <w:rPr>
          <w:rFonts w:ascii="Times New Roman" w:hAnsi="Times New Roman" w:cs="Times New Roman"/>
          <w:bCs/>
          <w:sz w:val="28"/>
          <w:szCs w:val="28"/>
          <w:lang w:val="uk-UA"/>
        </w:rPr>
        <w:t>М. Ю. Весе</w:t>
      </w:r>
      <w:proofErr w:type="spellEnd"/>
      <w:r w:rsidR="002E10D3" w:rsidRPr="002E10D3">
        <w:rPr>
          <w:rFonts w:ascii="Times New Roman" w:hAnsi="Times New Roman" w:cs="Times New Roman"/>
          <w:bCs/>
          <w:sz w:val="28"/>
          <w:szCs w:val="28"/>
          <w:lang w:val="uk-UA"/>
        </w:rPr>
        <w:t xml:space="preserve">лов, </w:t>
      </w:r>
      <w:proofErr w:type="spellStart"/>
      <w:r w:rsidR="002E10D3" w:rsidRPr="002E10D3">
        <w:rPr>
          <w:rFonts w:ascii="Times New Roman" w:hAnsi="Times New Roman" w:cs="Times New Roman"/>
          <w:bCs/>
          <w:sz w:val="28"/>
          <w:szCs w:val="28"/>
          <w:lang w:val="uk-UA"/>
        </w:rPr>
        <w:t>Р. М. Пили</w:t>
      </w:r>
      <w:proofErr w:type="spellEnd"/>
      <w:r w:rsidR="002E10D3" w:rsidRPr="002E10D3">
        <w:rPr>
          <w:rFonts w:ascii="Times New Roman" w:hAnsi="Times New Roman" w:cs="Times New Roman"/>
          <w:bCs/>
          <w:sz w:val="28"/>
          <w:szCs w:val="28"/>
          <w:lang w:val="uk-UA"/>
        </w:rPr>
        <w:t xml:space="preserve">пів. Київ : ВД </w:t>
      </w:r>
      <w:proofErr w:type="spellStart"/>
      <w:r w:rsidR="002E10D3" w:rsidRPr="002E10D3">
        <w:rPr>
          <w:rFonts w:ascii="Times New Roman" w:hAnsi="Times New Roman" w:cs="Times New Roman"/>
          <w:bCs/>
          <w:sz w:val="28"/>
          <w:szCs w:val="28"/>
          <w:lang w:val="uk-UA"/>
        </w:rPr>
        <w:t>Дакор</w:t>
      </w:r>
      <w:proofErr w:type="spellEnd"/>
      <w:r w:rsidR="002E10D3" w:rsidRPr="002E10D3">
        <w:rPr>
          <w:rFonts w:ascii="Times New Roman" w:hAnsi="Times New Roman" w:cs="Times New Roman"/>
          <w:bCs/>
          <w:sz w:val="28"/>
          <w:szCs w:val="28"/>
          <w:lang w:val="uk-UA"/>
        </w:rPr>
        <w:t>, 2022. 152 с. іл.</w:t>
      </w:r>
    </w:p>
    <w:p w:rsidR="00536678" w:rsidRDefault="00536678" w:rsidP="00536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Pr="00536678">
        <w:rPr>
          <w:rFonts w:ascii="Times New Roman" w:hAnsi="Times New Roman" w:cs="Times New Roman"/>
          <w:sz w:val="28"/>
          <w:szCs w:val="28"/>
          <w:lang w:val="de-DE"/>
        </w:rPr>
        <w:t>Strafgesetzbuch in der Fassung der Bekanntmachung vom 13. November 1998 (</w:t>
      </w:r>
      <w:proofErr w:type="spellStart"/>
      <w:r w:rsidRPr="00536678">
        <w:rPr>
          <w:rFonts w:ascii="Times New Roman" w:hAnsi="Times New Roman" w:cs="Times New Roman"/>
          <w:sz w:val="28"/>
          <w:szCs w:val="28"/>
          <w:lang w:val="de-DE"/>
        </w:rPr>
        <w:t>BGBl</w:t>
      </w:r>
      <w:proofErr w:type="spellEnd"/>
      <w:r w:rsidRPr="00536678">
        <w:rPr>
          <w:rFonts w:ascii="Times New Roman" w:hAnsi="Times New Roman" w:cs="Times New Roman"/>
          <w:sz w:val="28"/>
          <w:szCs w:val="28"/>
          <w:lang w:val="de-DE"/>
        </w:rPr>
        <w:t>.</w:t>
      </w:r>
      <w:r w:rsidRPr="00536678">
        <w:rPr>
          <w:rFonts w:ascii="Times New Roman" w:hAnsi="Times New Roman" w:cs="Times New Roman"/>
          <w:sz w:val="28"/>
          <w:szCs w:val="28"/>
          <w:lang w:val="en-US"/>
        </w:rPr>
        <w:t> </w:t>
      </w:r>
      <w:r w:rsidRPr="00536678">
        <w:rPr>
          <w:rFonts w:ascii="Times New Roman" w:hAnsi="Times New Roman" w:cs="Times New Roman"/>
          <w:sz w:val="28"/>
          <w:szCs w:val="28"/>
          <w:lang w:val="de-DE"/>
        </w:rPr>
        <w:t>I</w:t>
      </w:r>
      <w:r w:rsidRPr="00536678">
        <w:rPr>
          <w:rFonts w:ascii="Times New Roman" w:hAnsi="Times New Roman" w:cs="Times New Roman"/>
          <w:sz w:val="28"/>
          <w:szCs w:val="28"/>
          <w:lang w:val="en-US"/>
        </w:rPr>
        <w:t> </w:t>
      </w:r>
      <w:r w:rsidRPr="00536678">
        <w:rPr>
          <w:rFonts w:ascii="Times New Roman" w:hAnsi="Times New Roman" w:cs="Times New Roman"/>
          <w:sz w:val="28"/>
          <w:szCs w:val="28"/>
          <w:lang w:val="de-DE"/>
        </w:rPr>
        <w:t>S.</w:t>
      </w:r>
      <w:r w:rsidRPr="00536678">
        <w:rPr>
          <w:rFonts w:ascii="Times New Roman" w:hAnsi="Times New Roman" w:cs="Times New Roman"/>
          <w:sz w:val="28"/>
          <w:szCs w:val="28"/>
          <w:lang w:val="en-US"/>
        </w:rPr>
        <w:t> </w:t>
      </w:r>
      <w:r w:rsidRPr="00536678">
        <w:rPr>
          <w:rFonts w:ascii="Times New Roman" w:hAnsi="Times New Roman" w:cs="Times New Roman"/>
          <w:sz w:val="28"/>
          <w:szCs w:val="28"/>
          <w:lang w:val="de-DE"/>
        </w:rPr>
        <w:t xml:space="preserve">3322), das </w:t>
      </w:r>
      <w:proofErr w:type="spellStart"/>
      <w:r w:rsidRPr="00536678">
        <w:rPr>
          <w:rFonts w:ascii="Times New Roman" w:hAnsi="Times New Roman" w:cs="Times New Roman"/>
          <w:sz w:val="28"/>
          <w:szCs w:val="28"/>
          <w:lang w:val="de-DE"/>
        </w:rPr>
        <w:t>zuletztdurch</w:t>
      </w:r>
      <w:proofErr w:type="spellEnd"/>
      <w:r w:rsidRPr="00536678">
        <w:rPr>
          <w:rFonts w:ascii="Times New Roman" w:hAnsi="Times New Roman" w:cs="Times New Roman"/>
          <w:sz w:val="28"/>
          <w:szCs w:val="28"/>
          <w:lang w:val="de-DE"/>
        </w:rPr>
        <w:t xml:space="preserve"> Artikel</w:t>
      </w:r>
      <w:r w:rsidRPr="00536678">
        <w:rPr>
          <w:rFonts w:ascii="Times New Roman" w:hAnsi="Times New Roman" w:cs="Times New Roman"/>
          <w:sz w:val="28"/>
          <w:szCs w:val="28"/>
          <w:lang w:val="en-US"/>
        </w:rPr>
        <w:t> </w:t>
      </w:r>
      <w:r w:rsidRPr="00536678">
        <w:rPr>
          <w:rFonts w:ascii="Times New Roman" w:hAnsi="Times New Roman" w:cs="Times New Roman"/>
          <w:sz w:val="28"/>
          <w:szCs w:val="28"/>
          <w:lang w:val="de-DE"/>
        </w:rPr>
        <w:t>3 des Gesetzes vom 8. Oktober 2021 (</w:t>
      </w:r>
      <w:proofErr w:type="spellStart"/>
      <w:r w:rsidRPr="00536678">
        <w:rPr>
          <w:rFonts w:ascii="Times New Roman" w:hAnsi="Times New Roman" w:cs="Times New Roman"/>
          <w:sz w:val="28"/>
          <w:szCs w:val="28"/>
          <w:lang w:val="de-DE"/>
        </w:rPr>
        <w:t>BGBl</w:t>
      </w:r>
      <w:proofErr w:type="spellEnd"/>
      <w:r w:rsidRPr="00536678">
        <w:rPr>
          <w:rFonts w:ascii="Times New Roman" w:hAnsi="Times New Roman" w:cs="Times New Roman"/>
          <w:sz w:val="28"/>
          <w:szCs w:val="28"/>
          <w:lang w:val="de-DE"/>
        </w:rPr>
        <w:t>.</w:t>
      </w:r>
      <w:r w:rsidRPr="00536678">
        <w:rPr>
          <w:rFonts w:ascii="Times New Roman" w:hAnsi="Times New Roman" w:cs="Times New Roman"/>
          <w:sz w:val="28"/>
          <w:szCs w:val="28"/>
          <w:lang w:val="en-US"/>
        </w:rPr>
        <w:t> </w:t>
      </w:r>
      <w:r w:rsidRPr="00536678">
        <w:rPr>
          <w:rFonts w:ascii="Times New Roman" w:hAnsi="Times New Roman" w:cs="Times New Roman"/>
          <w:sz w:val="28"/>
          <w:szCs w:val="28"/>
          <w:lang w:val="de-DE"/>
        </w:rPr>
        <w:t>I</w:t>
      </w:r>
      <w:r w:rsidRPr="00536678">
        <w:rPr>
          <w:rFonts w:ascii="Times New Roman" w:hAnsi="Times New Roman" w:cs="Times New Roman"/>
          <w:sz w:val="28"/>
          <w:szCs w:val="28"/>
          <w:lang w:val="en-US"/>
        </w:rPr>
        <w:t> </w:t>
      </w:r>
      <w:r w:rsidRPr="00536678">
        <w:rPr>
          <w:rFonts w:ascii="Times New Roman" w:hAnsi="Times New Roman" w:cs="Times New Roman"/>
          <w:sz w:val="28"/>
          <w:szCs w:val="28"/>
          <w:lang w:val="de-DE"/>
        </w:rPr>
        <w:t>S.</w:t>
      </w:r>
      <w:r w:rsidRPr="00536678">
        <w:rPr>
          <w:rFonts w:ascii="Times New Roman" w:hAnsi="Times New Roman" w:cs="Times New Roman"/>
          <w:sz w:val="28"/>
          <w:szCs w:val="28"/>
          <w:lang w:val="en-US"/>
        </w:rPr>
        <w:t> </w:t>
      </w:r>
      <w:r w:rsidRPr="00536678">
        <w:rPr>
          <w:rFonts w:ascii="Times New Roman" w:hAnsi="Times New Roman" w:cs="Times New Roman"/>
          <w:sz w:val="28"/>
          <w:szCs w:val="28"/>
          <w:lang w:val="de-DE"/>
        </w:rPr>
        <w:t>4650) geändert worden ist</w:t>
      </w:r>
      <w:r w:rsidRPr="00536678">
        <w:rPr>
          <w:rFonts w:ascii="Times New Roman" w:hAnsi="Times New Roman" w:cs="Times New Roman"/>
          <w:sz w:val="28"/>
          <w:szCs w:val="28"/>
          <w:lang w:val="en-US"/>
        </w:rPr>
        <w:t>. URL: https://www.gesetze-im-internet.de/stgb/index.html (</w:t>
      </w:r>
      <w:r w:rsidRPr="00536678">
        <w:rPr>
          <w:rFonts w:ascii="Times New Roman" w:hAnsi="Times New Roman" w:cs="Times New Roman"/>
          <w:sz w:val="28"/>
          <w:szCs w:val="28"/>
        </w:rPr>
        <w:t>дата</w:t>
      </w:r>
      <w:r w:rsidRPr="00536678">
        <w:rPr>
          <w:rFonts w:ascii="Times New Roman" w:hAnsi="Times New Roman" w:cs="Times New Roman"/>
          <w:sz w:val="28"/>
          <w:szCs w:val="28"/>
          <w:lang w:val="en-US"/>
        </w:rPr>
        <w:t xml:space="preserve"> </w:t>
      </w:r>
      <w:proofErr w:type="spellStart"/>
      <w:r w:rsidRPr="00536678">
        <w:rPr>
          <w:rFonts w:ascii="Times New Roman" w:hAnsi="Times New Roman" w:cs="Times New Roman"/>
          <w:sz w:val="28"/>
          <w:szCs w:val="28"/>
        </w:rPr>
        <w:t>звернення</w:t>
      </w:r>
      <w:proofErr w:type="spellEnd"/>
      <w:r w:rsidRPr="00536678">
        <w:rPr>
          <w:rFonts w:ascii="Times New Roman" w:hAnsi="Times New Roman" w:cs="Times New Roman"/>
          <w:sz w:val="28"/>
          <w:szCs w:val="28"/>
          <w:lang w:val="en-US"/>
        </w:rPr>
        <w:t xml:space="preserve">: </w:t>
      </w:r>
      <w:r>
        <w:rPr>
          <w:rFonts w:ascii="Times New Roman" w:hAnsi="Times New Roman" w:cs="Times New Roman"/>
          <w:sz w:val="28"/>
          <w:szCs w:val="28"/>
          <w:lang w:val="uk-UA"/>
        </w:rPr>
        <w:t>3</w:t>
      </w:r>
      <w:r w:rsidRPr="00536678">
        <w:rPr>
          <w:rFonts w:ascii="Times New Roman" w:hAnsi="Times New Roman" w:cs="Times New Roman"/>
          <w:sz w:val="28"/>
          <w:szCs w:val="28"/>
          <w:lang w:val="en-US"/>
        </w:rPr>
        <w:t>0.1</w:t>
      </w:r>
      <w:r>
        <w:rPr>
          <w:rFonts w:ascii="Times New Roman" w:hAnsi="Times New Roman" w:cs="Times New Roman"/>
          <w:sz w:val="28"/>
          <w:szCs w:val="28"/>
          <w:lang w:val="uk-UA"/>
        </w:rPr>
        <w:t>0</w:t>
      </w:r>
      <w:r w:rsidRPr="00536678">
        <w:rPr>
          <w:rFonts w:ascii="Times New Roman" w:hAnsi="Times New Roman" w:cs="Times New Roman"/>
          <w:sz w:val="28"/>
          <w:szCs w:val="28"/>
          <w:lang w:val="en-US"/>
        </w:rPr>
        <w:t>.202</w:t>
      </w:r>
      <w:r>
        <w:rPr>
          <w:rFonts w:ascii="Times New Roman" w:hAnsi="Times New Roman" w:cs="Times New Roman"/>
          <w:sz w:val="28"/>
          <w:szCs w:val="28"/>
          <w:lang w:val="uk-UA"/>
        </w:rPr>
        <w:t>3</w:t>
      </w:r>
      <w:r w:rsidRPr="00536678">
        <w:rPr>
          <w:rFonts w:ascii="Times New Roman" w:hAnsi="Times New Roman" w:cs="Times New Roman"/>
          <w:sz w:val="28"/>
          <w:szCs w:val="28"/>
          <w:lang w:val="en-US"/>
        </w:rPr>
        <w:t>).</w:t>
      </w:r>
    </w:p>
    <w:p w:rsidR="001162D6" w:rsidRPr="001162D6" w:rsidRDefault="00536678" w:rsidP="0053667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w:t>
      </w:r>
      <w:proofErr w:type="gramStart"/>
      <w:r w:rsidRPr="00536678">
        <w:rPr>
          <w:rFonts w:ascii="Times New Roman" w:hAnsi="Times New Roman" w:cs="Times New Roman"/>
          <w:sz w:val="28"/>
          <w:szCs w:val="28"/>
          <w:lang w:val="en-US"/>
        </w:rPr>
        <w:t>Richardson,</w:t>
      </w:r>
      <w:r>
        <w:rPr>
          <w:rFonts w:ascii="Times New Roman" w:hAnsi="Times New Roman" w:cs="Times New Roman"/>
          <w:sz w:val="28"/>
          <w:szCs w:val="28"/>
          <w:lang w:val="uk-UA"/>
        </w:rPr>
        <w:t> </w:t>
      </w:r>
      <w:r w:rsidRPr="00536678">
        <w:rPr>
          <w:rFonts w:ascii="Times New Roman" w:hAnsi="Times New Roman" w:cs="Times New Roman"/>
          <w:sz w:val="28"/>
          <w:szCs w:val="28"/>
        </w:rPr>
        <w:t>Е</w:t>
      </w:r>
      <w:r w:rsidRPr="00536678">
        <w:rPr>
          <w:rFonts w:ascii="Times New Roman" w:hAnsi="Times New Roman" w:cs="Times New Roman"/>
          <w:sz w:val="28"/>
          <w:szCs w:val="28"/>
          <w:lang w:val="en-US"/>
        </w:rPr>
        <w:t>. (2013).</w:t>
      </w:r>
      <w:proofErr w:type="gramEnd"/>
      <w:r w:rsidRPr="00536678">
        <w:rPr>
          <w:rFonts w:ascii="Times New Roman" w:hAnsi="Times New Roman" w:cs="Times New Roman"/>
          <w:sz w:val="28"/>
          <w:szCs w:val="28"/>
          <w:lang w:val="en-US"/>
        </w:rPr>
        <w:t xml:space="preserve"> A Driving While Intoxicated/Suspended Court List for Victoria. </w:t>
      </w:r>
      <w:r w:rsidRPr="00536678">
        <w:rPr>
          <w:rFonts w:ascii="Times New Roman" w:hAnsi="Times New Roman" w:cs="Times New Roman"/>
          <w:sz w:val="28"/>
          <w:szCs w:val="28"/>
        </w:rPr>
        <w:t xml:space="preserve">ACJI, </w:t>
      </w:r>
      <w:proofErr w:type="spellStart"/>
      <w:r w:rsidRPr="00536678">
        <w:rPr>
          <w:rFonts w:ascii="Times New Roman" w:hAnsi="Times New Roman" w:cs="Times New Roman"/>
          <w:sz w:val="28"/>
          <w:szCs w:val="28"/>
        </w:rPr>
        <w:t>Monash</w:t>
      </w:r>
      <w:proofErr w:type="spellEnd"/>
      <w:r w:rsidRPr="00536678">
        <w:rPr>
          <w:rFonts w:ascii="Times New Roman" w:hAnsi="Times New Roman" w:cs="Times New Roman"/>
          <w:sz w:val="28"/>
          <w:szCs w:val="28"/>
        </w:rPr>
        <w:t xml:space="preserve"> </w:t>
      </w:r>
      <w:proofErr w:type="spellStart"/>
      <w:r w:rsidRPr="00536678">
        <w:rPr>
          <w:rFonts w:ascii="Times New Roman" w:hAnsi="Times New Roman" w:cs="Times New Roman"/>
          <w:sz w:val="28"/>
          <w:szCs w:val="28"/>
        </w:rPr>
        <w:t>University</w:t>
      </w:r>
      <w:proofErr w:type="spellEnd"/>
      <w:r w:rsidRPr="00536678">
        <w:rPr>
          <w:rFonts w:ascii="Times New Roman" w:hAnsi="Times New Roman" w:cs="Times New Roman"/>
          <w:sz w:val="28"/>
          <w:szCs w:val="28"/>
        </w:rPr>
        <w:t xml:space="preserve">: </w:t>
      </w:r>
      <w:proofErr w:type="spellStart"/>
      <w:r w:rsidRPr="00536678">
        <w:rPr>
          <w:rFonts w:ascii="Times New Roman" w:hAnsi="Times New Roman" w:cs="Times New Roman"/>
          <w:sz w:val="28"/>
          <w:szCs w:val="28"/>
        </w:rPr>
        <w:t>Melbourne</w:t>
      </w:r>
      <w:proofErr w:type="spellEnd"/>
      <w:r w:rsidRPr="00536678">
        <w:rPr>
          <w:rFonts w:ascii="Times New Roman" w:hAnsi="Times New Roman" w:cs="Times New Roman"/>
          <w:sz w:val="28"/>
          <w:szCs w:val="28"/>
        </w:rPr>
        <w:t>, 30</w:t>
      </w:r>
      <w:r>
        <w:rPr>
          <w:rFonts w:ascii="Times New Roman" w:hAnsi="Times New Roman" w:cs="Times New Roman"/>
          <w:sz w:val="28"/>
          <w:szCs w:val="28"/>
          <w:lang w:val="uk-UA"/>
        </w:rPr>
        <w:t> </w:t>
      </w:r>
      <w:r w:rsidRPr="00536678">
        <w:rPr>
          <w:rFonts w:ascii="Times New Roman" w:hAnsi="Times New Roman" w:cs="Times New Roman"/>
          <w:sz w:val="28"/>
          <w:szCs w:val="28"/>
        </w:rPr>
        <w:t>р.</w:t>
      </w:r>
    </w:p>
    <w:sectPr w:rsidR="001162D6" w:rsidRPr="001162D6" w:rsidSect="001162D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DF9" w:rsidRDefault="00347DF9" w:rsidP="00D655B3">
      <w:pPr>
        <w:spacing w:after="0" w:line="240" w:lineRule="auto"/>
      </w:pPr>
      <w:r>
        <w:separator/>
      </w:r>
    </w:p>
  </w:endnote>
  <w:endnote w:type="continuationSeparator" w:id="0">
    <w:p w:rsidR="00347DF9" w:rsidRDefault="00347DF9" w:rsidP="00D65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DF9" w:rsidRDefault="00347DF9" w:rsidP="00D655B3">
      <w:pPr>
        <w:spacing w:after="0" w:line="240" w:lineRule="auto"/>
      </w:pPr>
      <w:r>
        <w:separator/>
      </w:r>
    </w:p>
  </w:footnote>
  <w:footnote w:type="continuationSeparator" w:id="0">
    <w:p w:rsidR="00347DF9" w:rsidRDefault="00347DF9" w:rsidP="00D65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97"/>
    <w:rsid w:val="000A5F96"/>
    <w:rsid w:val="000E6811"/>
    <w:rsid w:val="001162D6"/>
    <w:rsid w:val="00126F7D"/>
    <w:rsid w:val="00191179"/>
    <w:rsid w:val="001A481B"/>
    <w:rsid w:val="001F2D0B"/>
    <w:rsid w:val="002831B0"/>
    <w:rsid w:val="002A0DDE"/>
    <w:rsid w:val="002E10D3"/>
    <w:rsid w:val="002E63C9"/>
    <w:rsid w:val="002E796B"/>
    <w:rsid w:val="00302100"/>
    <w:rsid w:val="00321157"/>
    <w:rsid w:val="00347DF9"/>
    <w:rsid w:val="003548DC"/>
    <w:rsid w:val="003663BB"/>
    <w:rsid w:val="00367B37"/>
    <w:rsid w:val="003D3AA7"/>
    <w:rsid w:val="004A0DE6"/>
    <w:rsid w:val="0053411B"/>
    <w:rsid w:val="00536678"/>
    <w:rsid w:val="0054591A"/>
    <w:rsid w:val="005516B2"/>
    <w:rsid w:val="00606825"/>
    <w:rsid w:val="00634A8A"/>
    <w:rsid w:val="006B226F"/>
    <w:rsid w:val="00791931"/>
    <w:rsid w:val="007E7DAB"/>
    <w:rsid w:val="00841797"/>
    <w:rsid w:val="00875834"/>
    <w:rsid w:val="008A549F"/>
    <w:rsid w:val="009430F6"/>
    <w:rsid w:val="00A97B5F"/>
    <w:rsid w:val="00AA06F8"/>
    <w:rsid w:val="00B90E45"/>
    <w:rsid w:val="00D17D7A"/>
    <w:rsid w:val="00D655B3"/>
    <w:rsid w:val="00D94D2D"/>
    <w:rsid w:val="00F51269"/>
    <w:rsid w:val="00F6489B"/>
    <w:rsid w:val="00F67775"/>
    <w:rsid w:val="00FA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655B3"/>
    <w:pPr>
      <w:spacing w:after="0" w:line="240" w:lineRule="auto"/>
    </w:pPr>
    <w:rPr>
      <w:sz w:val="20"/>
      <w:szCs w:val="20"/>
    </w:rPr>
  </w:style>
  <w:style w:type="character" w:customStyle="1" w:styleId="a4">
    <w:name w:val="Текст сноски Знак"/>
    <w:basedOn w:val="a0"/>
    <w:link w:val="a3"/>
    <w:uiPriority w:val="99"/>
    <w:rsid w:val="00D655B3"/>
    <w:rPr>
      <w:sz w:val="20"/>
      <w:szCs w:val="20"/>
    </w:rPr>
  </w:style>
  <w:style w:type="character" w:styleId="a5">
    <w:name w:val="footnote reference"/>
    <w:basedOn w:val="a0"/>
    <w:uiPriority w:val="99"/>
    <w:semiHidden/>
    <w:unhideWhenUsed/>
    <w:rsid w:val="00D655B3"/>
    <w:rPr>
      <w:vertAlign w:val="superscript"/>
    </w:rPr>
  </w:style>
  <w:style w:type="character" w:styleId="a6">
    <w:name w:val="Hyperlink"/>
    <w:basedOn w:val="a0"/>
    <w:uiPriority w:val="99"/>
    <w:unhideWhenUsed/>
    <w:rsid w:val="00D94D2D"/>
    <w:rPr>
      <w:color w:val="0000FF" w:themeColor="hyperlink"/>
      <w:u w:val="single"/>
    </w:rPr>
  </w:style>
  <w:style w:type="table" w:styleId="-1">
    <w:name w:val="Light Shading Accent 1"/>
    <w:basedOn w:val="a1"/>
    <w:uiPriority w:val="60"/>
    <w:rsid w:val="000A5F96"/>
    <w:pPr>
      <w:spacing w:after="0" w:line="240" w:lineRule="auto"/>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7">
    <w:name w:val="Table Grid"/>
    <w:basedOn w:val="a1"/>
    <w:uiPriority w:val="59"/>
    <w:rsid w:val="00634A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655B3"/>
    <w:pPr>
      <w:spacing w:after="0" w:line="240" w:lineRule="auto"/>
    </w:pPr>
    <w:rPr>
      <w:sz w:val="20"/>
      <w:szCs w:val="20"/>
    </w:rPr>
  </w:style>
  <w:style w:type="character" w:customStyle="1" w:styleId="a4">
    <w:name w:val="Текст сноски Знак"/>
    <w:basedOn w:val="a0"/>
    <w:link w:val="a3"/>
    <w:uiPriority w:val="99"/>
    <w:rsid w:val="00D655B3"/>
    <w:rPr>
      <w:sz w:val="20"/>
      <w:szCs w:val="20"/>
    </w:rPr>
  </w:style>
  <w:style w:type="character" w:styleId="a5">
    <w:name w:val="footnote reference"/>
    <w:basedOn w:val="a0"/>
    <w:uiPriority w:val="99"/>
    <w:semiHidden/>
    <w:unhideWhenUsed/>
    <w:rsid w:val="00D655B3"/>
    <w:rPr>
      <w:vertAlign w:val="superscript"/>
    </w:rPr>
  </w:style>
  <w:style w:type="character" w:styleId="a6">
    <w:name w:val="Hyperlink"/>
    <w:basedOn w:val="a0"/>
    <w:uiPriority w:val="99"/>
    <w:unhideWhenUsed/>
    <w:rsid w:val="00D94D2D"/>
    <w:rPr>
      <w:color w:val="0000FF" w:themeColor="hyperlink"/>
      <w:u w:val="single"/>
    </w:rPr>
  </w:style>
  <w:style w:type="table" w:styleId="-1">
    <w:name w:val="Light Shading Accent 1"/>
    <w:basedOn w:val="a1"/>
    <w:uiPriority w:val="60"/>
    <w:rsid w:val="000A5F96"/>
    <w:pPr>
      <w:spacing w:after="0" w:line="240" w:lineRule="auto"/>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7">
    <w:name w:val="Table Grid"/>
    <w:basedOn w:val="a1"/>
    <w:uiPriority w:val="59"/>
    <w:rsid w:val="00634A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C82A-A74D-40AA-81E1-7AE2009D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1253</Words>
  <Characters>7147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31</cp:revision>
  <dcterms:created xsi:type="dcterms:W3CDTF">2023-10-31T15:51:00Z</dcterms:created>
  <dcterms:modified xsi:type="dcterms:W3CDTF">2023-10-31T18:41:00Z</dcterms:modified>
</cp:coreProperties>
</file>