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3B0" w:rsidRPr="00B25D65" w:rsidRDefault="004D23B0" w:rsidP="00B25D65">
      <w:pPr>
        <w:spacing w:after="0" w:line="240" w:lineRule="auto"/>
        <w:ind w:left="4956" w:firstLine="708"/>
        <w:jc w:val="both"/>
        <w:rPr>
          <w:rFonts w:ascii="Times New Roman" w:hAnsi="Times New Roman" w:cs="Times New Roman"/>
          <w:sz w:val="24"/>
          <w:szCs w:val="24"/>
          <w:lang w:val="en-GB"/>
        </w:rPr>
      </w:pPr>
      <w:r w:rsidRPr="00B25D65">
        <w:rPr>
          <w:rFonts w:ascii="Times New Roman" w:hAnsi="Times New Roman" w:cs="Times New Roman"/>
          <w:b/>
          <w:sz w:val="24"/>
          <w:szCs w:val="24"/>
          <w:lang w:val="en-GB"/>
        </w:rPr>
        <w:t xml:space="preserve">Monika </w:t>
      </w:r>
      <w:proofErr w:type="spellStart"/>
      <w:r w:rsidRPr="00B25D65">
        <w:rPr>
          <w:rFonts w:ascii="Times New Roman" w:hAnsi="Times New Roman" w:cs="Times New Roman"/>
          <w:b/>
          <w:sz w:val="24"/>
          <w:szCs w:val="24"/>
          <w:lang w:val="en-GB"/>
        </w:rPr>
        <w:t>Szynol</w:t>
      </w:r>
      <w:proofErr w:type="spellEnd"/>
      <w:r w:rsidRPr="00B25D65">
        <w:rPr>
          <w:rFonts w:ascii="Times New Roman" w:hAnsi="Times New Roman" w:cs="Times New Roman"/>
          <w:sz w:val="24"/>
          <w:szCs w:val="24"/>
          <w:lang w:val="en-GB"/>
        </w:rPr>
        <w:t>, PhD</w:t>
      </w:r>
    </w:p>
    <w:p w:rsidR="004D23B0" w:rsidRPr="00B25D65" w:rsidRDefault="004D23B0" w:rsidP="00B25D65">
      <w:pPr>
        <w:spacing w:after="0" w:line="240" w:lineRule="auto"/>
        <w:ind w:left="4956" w:firstLine="708"/>
        <w:jc w:val="both"/>
        <w:rPr>
          <w:rFonts w:ascii="Times New Roman" w:hAnsi="Times New Roman" w:cs="Times New Roman"/>
          <w:sz w:val="24"/>
          <w:szCs w:val="24"/>
          <w:lang w:val="en-GB"/>
        </w:rPr>
      </w:pPr>
      <w:r w:rsidRPr="00B25D65">
        <w:rPr>
          <w:rFonts w:ascii="Times New Roman" w:hAnsi="Times New Roman" w:cs="Times New Roman"/>
          <w:sz w:val="24"/>
          <w:szCs w:val="24"/>
          <w:lang w:val="en-GB"/>
        </w:rPr>
        <w:t>Assistant Professor</w:t>
      </w:r>
    </w:p>
    <w:p w:rsidR="004D23B0" w:rsidRPr="00B25D65" w:rsidRDefault="004D23B0" w:rsidP="00B25D65">
      <w:pPr>
        <w:spacing w:after="0" w:line="240" w:lineRule="auto"/>
        <w:ind w:left="4956" w:firstLine="708"/>
        <w:jc w:val="both"/>
        <w:rPr>
          <w:rFonts w:ascii="Times New Roman" w:hAnsi="Times New Roman" w:cs="Times New Roman"/>
          <w:sz w:val="24"/>
          <w:szCs w:val="24"/>
          <w:lang w:val="en-GB"/>
        </w:rPr>
      </w:pPr>
      <w:r w:rsidRPr="00B25D65">
        <w:rPr>
          <w:rFonts w:ascii="Times New Roman" w:hAnsi="Times New Roman" w:cs="Times New Roman"/>
          <w:sz w:val="24"/>
          <w:szCs w:val="24"/>
          <w:lang w:val="en-GB"/>
        </w:rPr>
        <w:t>Institute of Political Science</w:t>
      </w:r>
    </w:p>
    <w:p w:rsidR="004D23B0" w:rsidRPr="00B25D65" w:rsidRDefault="004D23B0" w:rsidP="00B25D65">
      <w:pPr>
        <w:spacing w:after="0" w:line="240" w:lineRule="auto"/>
        <w:ind w:left="4956" w:firstLine="708"/>
        <w:jc w:val="both"/>
        <w:rPr>
          <w:rFonts w:ascii="Times New Roman" w:hAnsi="Times New Roman" w:cs="Times New Roman"/>
          <w:sz w:val="24"/>
          <w:szCs w:val="24"/>
          <w:lang w:val="en-GB"/>
        </w:rPr>
      </w:pPr>
      <w:r w:rsidRPr="00B25D65">
        <w:rPr>
          <w:rFonts w:ascii="Times New Roman" w:hAnsi="Times New Roman" w:cs="Times New Roman"/>
          <w:sz w:val="24"/>
          <w:szCs w:val="24"/>
          <w:lang w:val="en-GB"/>
        </w:rPr>
        <w:t>University of Silesia in Katowice</w:t>
      </w:r>
    </w:p>
    <w:p w:rsidR="004D23B0" w:rsidRPr="00B25D65" w:rsidRDefault="004D23B0" w:rsidP="00B25D65">
      <w:pPr>
        <w:spacing w:after="0" w:line="240" w:lineRule="auto"/>
        <w:ind w:left="4956" w:firstLine="708"/>
        <w:jc w:val="both"/>
        <w:rPr>
          <w:rFonts w:ascii="Times New Roman" w:hAnsi="Times New Roman" w:cs="Times New Roman"/>
          <w:sz w:val="24"/>
          <w:szCs w:val="24"/>
          <w:lang w:val="en-GB"/>
        </w:rPr>
      </w:pPr>
      <w:r w:rsidRPr="00B25D65">
        <w:rPr>
          <w:rFonts w:ascii="Times New Roman" w:hAnsi="Times New Roman" w:cs="Times New Roman"/>
          <w:sz w:val="24"/>
          <w:szCs w:val="24"/>
          <w:lang w:val="en-GB"/>
        </w:rPr>
        <w:t>monika.szynol@us.edu.pl</w:t>
      </w:r>
    </w:p>
    <w:p w:rsidR="004D23B0" w:rsidRPr="00B25D65" w:rsidRDefault="004D23B0" w:rsidP="00B25D65">
      <w:pPr>
        <w:spacing w:after="0" w:line="240" w:lineRule="auto"/>
        <w:ind w:left="4956" w:firstLine="708"/>
        <w:jc w:val="both"/>
        <w:rPr>
          <w:rFonts w:ascii="Times New Roman" w:hAnsi="Times New Roman" w:cs="Times New Roman"/>
          <w:sz w:val="24"/>
          <w:szCs w:val="24"/>
          <w:lang w:val="en-GB"/>
        </w:rPr>
      </w:pPr>
      <w:r w:rsidRPr="00B25D65">
        <w:rPr>
          <w:rFonts w:ascii="Times New Roman" w:hAnsi="Times New Roman" w:cs="Times New Roman"/>
          <w:sz w:val="24"/>
          <w:szCs w:val="24"/>
          <w:lang w:val="en-GB"/>
        </w:rPr>
        <w:t>https://orcid.org/0000-0003-4811-6304</w:t>
      </w:r>
    </w:p>
    <w:p w:rsidR="004D23B0" w:rsidRPr="00B25D65" w:rsidRDefault="004D23B0" w:rsidP="00B25D65">
      <w:pPr>
        <w:spacing w:after="0" w:line="240" w:lineRule="auto"/>
        <w:jc w:val="both"/>
        <w:rPr>
          <w:rFonts w:ascii="Times New Roman" w:hAnsi="Times New Roman" w:cs="Times New Roman"/>
          <w:sz w:val="24"/>
          <w:szCs w:val="24"/>
          <w:lang w:val="en-GB"/>
        </w:rPr>
      </w:pPr>
    </w:p>
    <w:p w:rsidR="004D23B0" w:rsidRPr="00B25D65" w:rsidRDefault="004D23B0" w:rsidP="00B25D65">
      <w:pPr>
        <w:spacing w:after="0" w:line="276" w:lineRule="auto"/>
        <w:jc w:val="both"/>
        <w:rPr>
          <w:rFonts w:cstheme="minorHAnsi"/>
          <w:lang w:val="en-GB"/>
        </w:rPr>
      </w:pPr>
    </w:p>
    <w:p w:rsidR="004D23B0" w:rsidRPr="00B25D65" w:rsidRDefault="004D23B0" w:rsidP="00B25D65">
      <w:pPr>
        <w:spacing w:after="0" w:line="240" w:lineRule="auto"/>
        <w:jc w:val="center"/>
        <w:rPr>
          <w:rFonts w:ascii="Times New Roman" w:hAnsi="Times New Roman" w:cs="Times New Roman"/>
          <w:b/>
          <w:sz w:val="24"/>
          <w:szCs w:val="24"/>
          <w:lang w:val="en-GB"/>
        </w:rPr>
      </w:pPr>
      <w:r w:rsidRPr="00B25D65">
        <w:rPr>
          <w:rFonts w:ascii="Times New Roman" w:hAnsi="Times New Roman" w:cs="Times New Roman"/>
          <w:b/>
          <w:sz w:val="24"/>
          <w:szCs w:val="24"/>
          <w:lang w:val="en-GB"/>
        </w:rPr>
        <w:t>SECURITISING AID – AN IMPULSE TO ENHANCE SELECTED CEE COUNTRIES’ SUPPORT FOR UKRAINE?</w:t>
      </w:r>
    </w:p>
    <w:p w:rsidR="004D23B0" w:rsidRPr="00B25D65" w:rsidRDefault="004D23B0" w:rsidP="00B25D65">
      <w:pPr>
        <w:spacing w:after="0" w:line="240" w:lineRule="auto"/>
        <w:jc w:val="both"/>
        <w:rPr>
          <w:rFonts w:ascii="Times New Roman" w:hAnsi="Times New Roman" w:cs="Times New Roman"/>
          <w:sz w:val="24"/>
          <w:szCs w:val="24"/>
          <w:lang w:val="en-GB"/>
        </w:rPr>
      </w:pPr>
      <w:bookmarkStart w:id="0" w:name="_GoBack"/>
      <w:bookmarkEnd w:id="0"/>
    </w:p>
    <w:p w:rsidR="004D23B0" w:rsidRPr="00B25D65" w:rsidRDefault="004D23B0" w:rsidP="00B25D65">
      <w:pPr>
        <w:spacing w:after="0" w:line="240" w:lineRule="auto"/>
        <w:ind w:firstLine="708"/>
        <w:jc w:val="both"/>
        <w:rPr>
          <w:rFonts w:ascii="Times New Roman" w:hAnsi="Times New Roman" w:cs="Times New Roman"/>
          <w:sz w:val="24"/>
          <w:szCs w:val="24"/>
          <w:lang w:val="en-GB"/>
        </w:rPr>
      </w:pPr>
      <w:r w:rsidRPr="00B25D65">
        <w:rPr>
          <w:rFonts w:ascii="Times New Roman" w:hAnsi="Times New Roman" w:cs="Times New Roman"/>
          <w:sz w:val="24"/>
          <w:szCs w:val="24"/>
          <w:lang w:val="en-GB"/>
        </w:rPr>
        <w:t xml:space="preserve">When the OECD DAC modified its list of foreign aid recipients in 1993, Ukraine </w:t>
      </w:r>
      <w:r w:rsidR="004622EF" w:rsidRPr="00B25D65">
        <w:rPr>
          <w:rFonts w:ascii="Times New Roman" w:hAnsi="Times New Roman" w:cs="Times New Roman"/>
          <w:sz w:val="24"/>
          <w:szCs w:val="24"/>
          <w:lang w:val="en-GB"/>
        </w:rPr>
        <w:t xml:space="preserve">was included in its second part covering </w:t>
      </w:r>
      <w:r w:rsidRPr="00B25D65">
        <w:rPr>
          <w:rFonts w:ascii="Times New Roman" w:hAnsi="Times New Roman" w:cs="Times New Roman"/>
          <w:sz w:val="24"/>
          <w:szCs w:val="24"/>
          <w:lang w:val="en-GB"/>
        </w:rPr>
        <w:t xml:space="preserve">Central and Eastern European Countries and New Independent States of </w:t>
      </w:r>
      <w:r w:rsidR="004622EF" w:rsidRPr="00B25D65">
        <w:rPr>
          <w:rFonts w:ascii="Times New Roman" w:hAnsi="Times New Roman" w:cs="Times New Roman"/>
          <w:sz w:val="24"/>
          <w:szCs w:val="24"/>
          <w:lang w:val="en-GB"/>
        </w:rPr>
        <w:t xml:space="preserve">the </w:t>
      </w:r>
      <w:r w:rsidRPr="00B25D65">
        <w:rPr>
          <w:rFonts w:ascii="Times New Roman" w:hAnsi="Times New Roman" w:cs="Times New Roman"/>
          <w:sz w:val="24"/>
          <w:szCs w:val="24"/>
          <w:lang w:val="en-GB"/>
        </w:rPr>
        <w:t xml:space="preserve">former Soviet Union </w:t>
      </w:r>
      <w:r w:rsidR="004622EF" w:rsidRPr="00B25D65">
        <w:rPr>
          <w:rFonts w:ascii="Times New Roman" w:hAnsi="Times New Roman" w:cs="Times New Roman"/>
          <w:sz w:val="24"/>
          <w:szCs w:val="24"/>
          <w:lang w:val="en-GB"/>
        </w:rPr>
        <w:t>entitled to receive</w:t>
      </w:r>
      <w:r w:rsidRPr="00B25D65">
        <w:rPr>
          <w:rFonts w:ascii="Times New Roman" w:hAnsi="Times New Roman" w:cs="Times New Roman"/>
          <w:sz w:val="24"/>
          <w:szCs w:val="24"/>
          <w:lang w:val="en-GB"/>
        </w:rPr>
        <w:t xml:space="preserve"> Official Aid (together with, among others, the Czech Republic, Hungary, Poland and the Slovak Republic). In 2005, when the single </w:t>
      </w:r>
      <w:r w:rsidRPr="00B25D65">
        <w:rPr>
          <w:rFonts w:ascii="Times New Roman" w:hAnsi="Times New Roman" w:cs="Times New Roman"/>
          <w:i/>
          <w:sz w:val="24"/>
          <w:szCs w:val="24"/>
          <w:lang w:val="en-GB"/>
        </w:rPr>
        <w:t>DAC List of ODA Recipients</w:t>
      </w:r>
      <w:r w:rsidRPr="00B25D65">
        <w:rPr>
          <w:rFonts w:ascii="Times New Roman" w:hAnsi="Times New Roman" w:cs="Times New Roman"/>
          <w:sz w:val="24"/>
          <w:szCs w:val="24"/>
          <w:lang w:val="en-GB"/>
        </w:rPr>
        <w:t xml:space="preserve"> was restored, Ukraine was transferred from part II and </w:t>
      </w:r>
      <w:r w:rsidR="004622EF" w:rsidRPr="00B25D65">
        <w:rPr>
          <w:rFonts w:ascii="Times New Roman" w:hAnsi="Times New Roman" w:cs="Times New Roman"/>
          <w:sz w:val="24"/>
          <w:szCs w:val="24"/>
          <w:lang w:val="en-GB"/>
        </w:rPr>
        <w:t>listed</w:t>
      </w:r>
      <w:r w:rsidRPr="00B25D65">
        <w:rPr>
          <w:rFonts w:ascii="Times New Roman" w:hAnsi="Times New Roman" w:cs="Times New Roman"/>
          <w:sz w:val="24"/>
          <w:szCs w:val="24"/>
          <w:lang w:val="en-GB"/>
        </w:rPr>
        <w:t xml:space="preserve"> in the group of Lower Middle Income Countries and Territories enabled to </w:t>
      </w:r>
      <w:r w:rsidR="004622EF" w:rsidRPr="00B25D65">
        <w:rPr>
          <w:rFonts w:ascii="Times New Roman" w:hAnsi="Times New Roman" w:cs="Times New Roman"/>
          <w:sz w:val="24"/>
          <w:szCs w:val="24"/>
          <w:lang w:val="en-GB"/>
        </w:rPr>
        <w:t xml:space="preserve">benefit from </w:t>
      </w:r>
      <w:r w:rsidRPr="00B25D65">
        <w:rPr>
          <w:rFonts w:ascii="Times New Roman" w:hAnsi="Times New Roman" w:cs="Times New Roman"/>
          <w:sz w:val="24"/>
          <w:szCs w:val="24"/>
          <w:lang w:val="en-GB"/>
        </w:rPr>
        <w:t>Official Development Assistance (ODA)</w:t>
      </w:r>
      <w:r w:rsidR="00700A8C" w:rsidRPr="00B25D65">
        <w:rPr>
          <w:rStyle w:val="Odwoanieprzypisudolnego"/>
          <w:rFonts w:ascii="Times New Roman" w:hAnsi="Times New Roman" w:cs="Times New Roman"/>
          <w:sz w:val="24"/>
          <w:szCs w:val="24"/>
          <w:lang w:val="en-GB"/>
        </w:rPr>
        <w:footnoteReference w:id="1"/>
      </w:r>
      <w:r w:rsidR="001E6CA0" w:rsidRPr="00B25D65">
        <w:rPr>
          <w:rFonts w:ascii="Times New Roman" w:hAnsi="Times New Roman" w:cs="Times New Roman"/>
          <w:sz w:val="24"/>
          <w:szCs w:val="24"/>
          <w:lang w:val="en-GB"/>
        </w:rPr>
        <w:t xml:space="preserve"> (OECD, 2023a)</w:t>
      </w:r>
      <w:r w:rsidRPr="00B25D65">
        <w:rPr>
          <w:rFonts w:ascii="Times New Roman" w:hAnsi="Times New Roman" w:cs="Times New Roman"/>
          <w:sz w:val="24"/>
          <w:szCs w:val="24"/>
          <w:lang w:val="en-GB"/>
        </w:rPr>
        <w:t xml:space="preserve">. At the same time, four indicated Central and Eastern European (CEE) countries officially became aid donors, sharing common experiences before and after 1989, obliged by the same external conditions of development cooperation, similarly identifying their comparative advantages as ODA donors, differed by nominal ODA transfers but comparable in burden on ODA expenditures. </w:t>
      </w:r>
    </w:p>
    <w:p w:rsidR="00F636AE" w:rsidRPr="00B25D65" w:rsidRDefault="001E6CA0" w:rsidP="00B25D65">
      <w:pPr>
        <w:spacing w:after="0" w:line="240" w:lineRule="auto"/>
        <w:ind w:firstLine="708"/>
        <w:jc w:val="both"/>
        <w:rPr>
          <w:rFonts w:ascii="Times New Roman" w:hAnsi="Times New Roman" w:cs="Times New Roman"/>
          <w:sz w:val="24"/>
          <w:szCs w:val="24"/>
          <w:lang w:val="en-GB"/>
        </w:rPr>
      </w:pPr>
      <w:r w:rsidRPr="00B25D65">
        <w:rPr>
          <w:rFonts w:ascii="Times New Roman" w:hAnsi="Times New Roman" w:cs="Times New Roman"/>
          <w:sz w:val="24"/>
          <w:szCs w:val="24"/>
          <w:lang w:val="en-GB"/>
        </w:rPr>
        <w:t>Since 2005,</w:t>
      </w:r>
      <w:r w:rsidR="004D23B0" w:rsidRPr="00B25D65">
        <w:rPr>
          <w:rFonts w:ascii="Times New Roman" w:hAnsi="Times New Roman" w:cs="Times New Roman"/>
          <w:sz w:val="24"/>
          <w:szCs w:val="24"/>
          <w:lang w:val="en-GB"/>
        </w:rPr>
        <w:t xml:space="preserve"> all four </w:t>
      </w:r>
      <w:r w:rsidRPr="00B25D65">
        <w:rPr>
          <w:rFonts w:ascii="Times New Roman" w:hAnsi="Times New Roman" w:cs="Times New Roman"/>
          <w:sz w:val="24"/>
          <w:szCs w:val="24"/>
          <w:lang w:val="en-GB"/>
        </w:rPr>
        <w:t xml:space="preserve">CEE </w:t>
      </w:r>
      <w:r w:rsidR="004D23B0" w:rsidRPr="00B25D65">
        <w:rPr>
          <w:rFonts w:ascii="Times New Roman" w:hAnsi="Times New Roman" w:cs="Times New Roman"/>
          <w:sz w:val="24"/>
          <w:szCs w:val="24"/>
          <w:lang w:val="en-GB"/>
        </w:rPr>
        <w:t>countries delivered ODA to Ukraine. However, not all of them identified Ukraine as a priority partner in their development cooperation and, according to offici</w:t>
      </w:r>
      <w:r w:rsidR="004A5634" w:rsidRPr="00B25D65">
        <w:rPr>
          <w:rFonts w:ascii="Times New Roman" w:hAnsi="Times New Roman" w:cs="Times New Roman"/>
          <w:sz w:val="24"/>
          <w:szCs w:val="24"/>
          <w:lang w:val="en-GB"/>
        </w:rPr>
        <w:t>al documents, an explicit</w:t>
      </w:r>
      <w:r w:rsidRPr="00B25D65">
        <w:rPr>
          <w:rFonts w:ascii="Times New Roman" w:hAnsi="Times New Roman" w:cs="Times New Roman"/>
          <w:sz w:val="24"/>
          <w:szCs w:val="24"/>
          <w:lang w:val="en-GB"/>
        </w:rPr>
        <w:t xml:space="preserve"> condition</w:t>
      </w:r>
      <w:r w:rsidR="004D23B0" w:rsidRPr="00B25D65">
        <w:rPr>
          <w:rFonts w:ascii="Times New Roman" w:hAnsi="Times New Roman" w:cs="Times New Roman"/>
          <w:sz w:val="24"/>
          <w:szCs w:val="24"/>
          <w:lang w:val="en-GB"/>
        </w:rPr>
        <w:t xml:space="preserve"> for providing aid to Ukraine became sharing a border with this country. For instance, Poland indicated Ukraine as a priority partner</w:t>
      </w:r>
      <w:r w:rsidRPr="00B25D65">
        <w:rPr>
          <w:rFonts w:ascii="Times New Roman" w:hAnsi="Times New Roman" w:cs="Times New Roman"/>
          <w:sz w:val="24"/>
          <w:szCs w:val="24"/>
          <w:lang w:val="en-GB"/>
        </w:rPr>
        <w:t xml:space="preserve"> already in</w:t>
      </w:r>
      <w:r w:rsidR="00F636AE" w:rsidRPr="00B25D65">
        <w:rPr>
          <w:rFonts w:ascii="Times New Roman" w:hAnsi="Times New Roman" w:cs="Times New Roman"/>
          <w:sz w:val="24"/>
          <w:szCs w:val="24"/>
          <w:lang w:val="en-GB"/>
        </w:rPr>
        <w:t xml:space="preserve"> 2005 (MSZ, 2023). </w:t>
      </w:r>
      <w:r w:rsidR="004A5634" w:rsidRPr="00B25D65">
        <w:rPr>
          <w:rFonts w:ascii="Times New Roman" w:hAnsi="Times New Roman" w:cs="Times New Roman"/>
          <w:sz w:val="24"/>
          <w:szCs w:val="24"/>
          <w:lang w:val="en-GB"/>
        </w:rPr>
        <w:t>The Slovak Republic has included Ukraine among its partner “project countries” since 2009 (putting “programme countries”</w:t>
      </w:r>
      <w:r w:rsidR="00E3718D" w:rsidRPr="00B25D65">
        <w:rPr>
          <w:rFonts w:ascii="Times New Roman" w:hAnsi="Times New Roman" w:cs="Times New Roman"/>
          <w:sz w:val="24"/>
          <w:szCs w:val="24"/>
          <w:lang w:val="en-GB"/>
        </w:rPr>
        <w:t xml:space="preserve"> higher in the hierarchy; MFEA, 2009, p. 13)</w:t>
      </w:r>
      <w:r w:rsidR="004A5634" w:rsidRPr="00B25D65">
        <w:rPr>
          <w:rFonts w:ascii="Times New Roman" w:hAnsi="Times New Roman" w:cs="Times New Roman"/>
          <w:sz w:val="24"/>
          <w:szCs w:val="24"/>
          <w:lang w:val="en-GB"/>
        </w:rPr>
        <w:t>. Hungary does not directly indicate partner countries but selects partner regions (Western Balkans and Eastern Europe</w:t>
      </w:r>
      <w:r w:rsidR="00E3718D" w:rsidRPr="00B25D65">
        <w:rPr>
          <w:rFonts w:ascii="Times New Roman" w:hAnsi="Times New Roman" w:cs="Times New Roman"/>
          <w:sz w:val="24"/>
          <w:szCs w:val="24"/>
          <w:lang w:val="en-GB"/>
        </w:rPr>
        <w:t>; MFAT, 2014, p. 9</w:t>
      </w:r>
      <w:r w:rsidR="004A5634" w:rsidRPr="00B25D65">
        <w:rPr>
          <w:rFonts w:ascii="Times New Roman" w:hAnsi="Times New Roman" w:cs="Times New Roman"/>
          <w:sz w:val="24"/>
          <w:szCs w:val="24"/>
          <w:lang w:val="en-GB"/>
        </w:rPr>
        <w:t>). The Czech Republic recognised Ukraine as a partner country only in 2014, and since 2016, it has been listed among “specific countries” (a category reflecting the government’s interest to develop partnerships and target support in post-conflict stabilisation and reconstruction processes</w:t>
      </w:r>
      <w:r w:rsidR="00E3718D" w:rsidRPr="00B25D65">
        <w:rPr>
          <w:rFonts w:ascii="Times New Roman" w:hAnsi="Times New Roman" w:cs="Times New Roman"/>
          <w:sz w:val="24"/>
          <w:szCs w:val="24"/>
          <w:lang w:val="en-GB"/>
        </w:rPr>
        <w:t>; MFA, 2017, p. 13</w:t>
      </w:r>
      <w:r w:rsidR="004A5634" w:rsidRPr="00B25D65">
        <w:rPr>
          <w:rFonts w:ascii="Times New Roman" w:hAnsi="Times New Roman" w:cs="Times New Roman"/>
          <w:sz w:val="24"/>
          <w:szCs w:val="24"/>
          <w:lang w:val="en-GB"/>
        </w:rPr>
        <w:t xml:space="preserve">). </w:t>
      </w:r>
    </w:p>
    <w:p w:rsidR="004D23B0" w:rsidRPr="00B25D65" w:rsidRDefault="00E3718D" w:rsidP="00B25D65">
      <w:pPr>
        <w:spacing w:after="0" w:line="240" w:lineRule="auto"/>
        <w:ind w:firstLine="708"/>
        <w:jc w:val="both"/>
        <w:rPr>
          <w:rFonts w:ascii="Times New Roman" w:hAnsi="Times New Roman" w:cs="Times New Roman"/>
          <w:sz w:val="24"/>
          <w:szCs w:val="24"/>
          <w:lang w:val="en-GB"/>
        </w:rPr>
      </w:pPr>
      <w:r w:rsidRPr="00B25D65">
        <w:rPr>
          <w:rFonts w:ascii="Times New Roman" w:hAnsi="Times New Roman" w:cs="Times New Roman"/>
          <w:sz w:val="24"/>
          <w:szCs w:val="24"/>
          <w:lang w:val="en-GB"/>
        </w:rPr>
        <w:t>Notably</w:t>
      </w:r>
      <w:r w:rsidR="004D23B0" w:rsidRPr="00B25D65">
        <w:rPr>
          <w:rFonts w:ascii="Times New Roman" w:hAnsi="Times New Roman" w:cs="Times New Roman"/>
          <w:sz w:val="24"/>
          <w:szCs w:val="24"/>
          <w:lang w:val="en-GB"/>
        </w:rPr>
        <w:t xml:space="preserve">, annual aid transfers reflected the </w:t>
      </w:r>
      <w:r w:rsidRPr="00B25D65">
        <w:rPr>
          <w:rFonts w:ascii="Times New Roman" w:hAnsi="Times New Roman" w:cs="Times New Roman"/>
          <w:sz w:val="24"/>
          <w:szCs w:val="24"/>
          <w:lang w:val="en-GB"/>
        </w:rPr>
        <w:t>variable</w:t>
      </w:r>
      <w:r w:rsidR="004D23B0" w:rsidRPr="00B25D65">
        <w:rPr>
          <w:rFonts w:ascii="Times New Roman" w:hAnsi="Times New Roman" w:cs="Times New Roman"/>
          <w:sz w:val="24"/>
          <w:szCs w:val="24"/>
          <w:lang w:val="en-GB"/>
        </w:rPr>
        <w:t xml:space="preserve"> </w:t>
      </w:r>
      <w:r w:rsidRPr="00B25D65">
        <w:rPr>
          <w:rFonts w:ascii="Times New Roman" w:hAnsi="Times New Roman" w:cs="Times New Roman"/>
          <w:sz w:val="24"/>
          <w:szCs w:val="24"/>
          <w:lang w:val="en-GB"/>
        </w:rPr>
        <w:t>circumstance</w:t>
      </w:r>
      <w:r w:rsidR="004D23B0" w:rsidRPr="00B25D65">
        <w:rPr>
          <w:rFonts w:ascii="Times New Roman" w:hAnsi="Times New Roman" w:cs="Times New Roman"/>
          <w:sz w:val="24"/>
          <w:szCs w:val="24"/>
          <w:lang w:val="en-GB"/>
        </w:rPr>
        <w:t xml:space="preserve">s of aid delivery to Ukraine (mainly the so-called Orange Revolution, </w:t>
      </w:r>
      <w:r w:rsidRPr="00B25D65">
        <w:rPr>
          <w:rFonts w:ascii="Times New Roman" w:hAnsi="Times New Roman" w:cs="Times New Roman"/>
          <w:sz w:val="24"/>
          <w:szCs w:val="24"/>
          <w:lang w:val="en-GB"/>
        </w:rPr>
        <w:t xml:space="preserve">the </w:t>
      </w:r>
      <w:r w:rsidR="004D23B0" w:rsidRPr="00B25D65">
        <w:rPr>
          <w:rFonts w:ascii="Times New Roman" w:hAnsi="Times New Roman" w:cs="Times New Roman"/>
          <w:sz w:val="24"/>
          <w:szCs w:val="24"/>
          <w:lang w:val="en-GB"/>
        </w:rPr>
        <w:t>launching of the Eastern Partnership, the annexation of Crimea and the war in Eastern Ukraine). Changes in the conditions for providing aid significantly influenced the volume and</w:t>
      </w:r>
      <w:r w:rsidRPr="00B25D65">
        <w:rPr>
          <w:rFonts w:ascii="Times New Roman" w:hAnsi="Times New Roman" w:cs="Times New Roman"/>
          <w:sz w:val="24"/>
          <w:szCs w:val="24"/>
          <w:lang w:val="en-GB"/>
        </w:rPr>
        <w:t xml:space="preserve"> nature of aid transferred to this state</w:t>
      </w:r>
      <w:r w:rsidR="004D23B0" w:rsidRPr="00B25D65">
        <w:rPr>
          <w:rFonts w:ascii="Times New Roman" w:hAnsi="Times New Roman" w:cs="Times New Roman"/>
          <w:sz w:val="24"/>
          <w:szCs w:val="24"/>
          <w:lang w:val="en-GB"/>
        </w:rPr>
        <w:t xml:space="preserve"> by the four countries. For example, the annexation of Crimea and the start of the war in 2014 forced </w:t>
      </w:r>
      <w:r w:rsidRPr="00B25D65">
        <w:rPr>
          <w:rFonts w:ascii="Times New Roman" w:hAnsi="Times New Roman" w:cs="Times New Roman"/>
          <w:sz w:val="24"/>
          <w:szCs w:val="24"/>
          <w:lang w:val="en-GB"/>
        </w:rPr>
        <w:t>the provision of</w:t>
      </w:r>
      <w:r w:rsidR="004D23B0" w:rsidRPr="00B25D65">
        <w:rPr>
          <w:rFonts w:ascii="Times New Roman" w:hAnsi="Times New Roman" w:cs="Times New Roman"/>
          <w:sz w:val="24"/>
          <w:szCs w:val="24"/>
          <w:lang w:val="en-GB"/>
        </w:rPr>
        <w:t xml:space="preserve"> humanitarian assistance to this country, including support fo</w:t>
      </w:r>
      <w:r w:rsidRPr="00B25D65">
        <w:rPr>
          <w:rFonts w:ascii="Times New Roman" w:hAnsi="Times New Roman" w:cs="Times New Roman"/>
          <w:sz w:val="24"/>
          <w:szCs w:val="24"/>
          <w:lang w:val="en-GB"/>
        </w:rPr>
        <w:t>r internally displaced people or</w:t>
      </w:r>
      <w:r w:rsidR="004D23B0" w:rsidRPr="00B25D65">
        <w:rPr>
          <w:rFonts w:ascii="Times New Roman" w:hAnsi="Times New Roman" w:cs="Times New Roman"/>
          <w:sz w:val="24"/>
          <w:szCs w:val="24"/>
          <w:lang w:val="en-GB"/>
        </w:rPr>
        <w:t xml:space="preserve"> food aid. At the same time, strengthening the beneficiary</w:t>
      </w:r>
      <w:r w:rsidRPr="00B25D65">
        <w:rPr>
          <w:rFonts w:ascii="Times New Roman" w:hAnsi="Times New Roman" w:cs="Times New Roman"/>
          <w:sz w:val="24"/>
          <w:szCs w:val="24"/>
          <w:lang w:val="en-GB"/>
        </w:rPr>
        <w:t>’s resilience did not beco</w:t>
      </w:r>
      <w:r w:rsidR="004D23B0" w:rsidRPr="00B25D65">
        <w:rPr>
          <w:rFonts w:ascii="Times New Roman" w:hAnsi="Times New Roman" w:cs="Times New Roman"/>
          <w:sz w:val="24"/>
          <w:szCs w:val="24"/>
          <w:lang w:val="en-GB"/>
        </w:rPr>
        <w:t xml:space="preserve">me a priority in the aid provided by the four </w:t>
      </w:r>
      <w:r w:rsidRPr="00B25D65">
        <w:rPr>
          <w:rFonts w:ascii="Times New Roman" w:hAnsi="Times New Roman" w:cs="Times New Roman"/>
          <w:sz w:val="24"/>
          <w:szCs w:val="24"/>
          <w:lang w:val="en-GB"/>
        </w:rPr>
        <w:t>donors</w:t>
      </w:r>
      <w:r w:rsidR="004D23B0" w:rsidRPr="00B25D65">
        <w:rPr>
          <w:rFonts w:ascii="Times New Roman" w:hAnsi="Times New Roman" w:cs="Times New Roman"/>
          <w:sz w:val="24"/>
          <w:szCs w:val="24"/>
          <w:lang w:val="en-GB"/>
        </w:rPr>
        <w:t xml:space="preserve"> to Ukraine after 2014. Most aid was still directed to support infrastructure and social services, especially education. Only two countries – Poland and </w:t>
      </w:r>
      <w:r w:rsidRPr="00B25D65">
        <w:rPr>
          <w:rFonts w:ascii="Times New Roman" w:hAnsi="Times New Roman" w:cs="Times New Roman"/>
          <w:sz w:val="24"/>
          <w:szCs w:val="24"/>
          <w:lang w:val="en-GB"/>
        </w:rPr>
        <w:t>the Slovak Republic</w:t>
      </w:r>
      <w:r w:rsidR="004D23B0" w:rsidRPr="00B25D65">
        <w:rPr>
          <w:rFonts w:ascii="Times New Roman" w:hAnsi="Times New Roman" w:cs="Times New Roman"/>
          <w:sz w:val="24"/>
          <w:szCs w:val="24"/>
          <w:lang w:val="en-GB"/>
        </w:rPr>
        <w:t xml:space="preserve"> – focused on, among others, support</w:t>
      </w:r>
      <w:r w:rsidRPr="00B25D65">
        <w:rPr>
          <w:rFonts w:ascii="Times New Roman" w:hAnsi="Times New Roman" w:cs="Times New Roman"/>
          <w:sz w:val="24"/>
          <w:szCs w:val="24"/>
          <w:lang w:val="en-GB"/>
        </w:rPr>
        <w:t>ing reforms in the security sec</w:t>
      </w:r>
      <w:r w:rsidR="004D23B0" w:rsidRPr="00B25D65">
        <w:rPr>
          <w:rFonts w:ascii="Times New Roman" w:hAnsi="Times New Roman" w:cs="Times New Roman"/>
          <w:sz w:val="24"/>
          <w:szCs w:val="24"/>
          <w:lang w:val="en-GB"/>
        </w:rPr>
        <w:t>t</w:t>
      </w:r>
      <w:r w:rsidRPr="00B25D65">
        <w:rPr>
          <w:rFonts w:ascii="Times New Roman" w:hAnsi="Times New Roman" w:cs="Times New Roman"/>
          <w:sz w:val="24"/>
          <w:szCs w:val="24"/>
          <w:lang w:val="en-GB"/>
        </w:rPr>
        <w:t>o</w:t>
      </w:r>
      <w:r w:rsidR="004D23B0" w:rsidRPr="00B25D65">
        <w:rPr>
          <w:rFonts w:ascii="Times New Roman" w:hAnsi="Times New Roman" w:cs="Times New Roman"/>
          <w:sz w:val="24"/>
          <w:szCs w:val="24"/>
          <w:lang w:val="en-GB"/>
        </w:rPr>
        <w:t>r and enhancing border security</w:t>
      </w:r>
      <w:r w:rsidR="006A3D5E" w:rsidRPr="00B25D65">
        <w:rPr>
          <w:rFonts w:ascii="Times New Roman" w:hAnsi="Times New Roman" w:cs="Times New Roman"/>
          <w:sz w:val="24"/>
          <w:szCs w:val="24"/>
          <w:lang w:val="en-GB"/>
        </w:rPr>
        <w:t xml:space="preserve"> (OECD, 2023c)</w:t>
      </w:r>
      <w:r w:rsidR="004D23B0" w:rsidRPr="00B25D65">
        <w:rPr>
          <w:rFonts w:ascii="Times New Roman" w:hAnsi="Times New Roman" w:cs="Times New Roman"/>
          <w:sz w:val="24"/>
          <w:szCs w:val="24"/>
          <w:lang w:val="en-GB"/>
        </w:rPr>
        <w:t xml:space="preserve">. </w:t>
      </w:r>
    </w:p>
    <w:p w:rsidR="004D23B0" w:rsidRPr="00B25D65" w:rsidRDefault="004D23B0" w:rsidP="00B25D65">
      <w:pPr>
        <w:spacing w:after="0" w:line="240" w:lineRule="auto"/>
        <w:ind w:firstLine="708"/>
        <w:jc w:val="both"/>
        <w:rPr>
          <w:rFonts w:ascii="Times New Roman" w:hAnsi="Times New Roman" w:cs="Times New Roman"/>
          <w:sz w:val="24"/>
          <w:szCs w:val="24"/>
          <w:lang w:val="en-GB"/>
        </w:rPr>
      </w:pPr>
      <w:r w:rsidRPr="00B25D65">
        <w:rPr>
          <w:rFonts w:ascii="Times New Roman" w:hAnsi="Times New Roman" w:cs="Times New Roman"/>
          <w:sz w:val="24"/>
          <w:szCs w:val="24"/>
          <w:lang w:val="en-GB"/>
        </w:rPr>
        <w:t xml:space="preserve">Finally, from 2005 to 2021, Poland transferred to Ukraine ODA worth </w:t>
      </w:r>
      <w:r w:rsidR="006A3D5E" w:rsidRPr="00B25D65">
        <w:rPr>
          <w:rFonts w:ascii="Times New Roman" w:hAnsi="Times New Roman" w:cs="Times New Roman"/>
          <w:sz w:val="24"/>
          <w:szCs w:val="24"/>
          <w:lang w:val="en-GB"/>
        </w:rPr>
        <w:t>USD 571.</w:t>
      </w:r>
      <w:r w:rsidRPr="00B25D65">
        <w:rPr>
          <w:rFonts w:ascii="Times New Roman" w:hAnsi="Times New Roman" w:cs="Times New Roman"/>
          <w:sz w:val="24"/>
          <w:szCs w:val="24"/>
          <w:lang w:val="en-GB"/>
        </w:rPr>
        <w:t xml:space="preserve">54 </w:t>
      </w:r>
      <w:proofErr w:type="spellStart"/>
      <w:r w:rsidRPr="00B25D65">
        <w:rPr>
          <w:rFonts w:ascii="Times New Roman" w:hAnsi="Times New Roman" w:cs="Times New Roman"/>
          <w:sz w:val="24"/>
          <w:szCs w:val="24"/>
          <w:lang w:val="en-GB"/>
        </w:rPr>
        <w:t>mln</w:t>
      </w:r>
      <w:proofErr w:type="spellEnd"/>
      <w:r w:rsidRPr="00B25D65">
        <w:rPr>
          <w:rFonts w:ascii="Times New Roman" w:hAnsi="Times New Roman" w:cs="Times New Roman"/>
          <w:sz w:val="24"/>
          <w:szCs w:val="24"/>
          <w:lang w:val="en-GB"/>
        </w:rPr>
        <w:t xml:space="preserve">, Hungary – </w:t>
      </w:r>
      <w:r w:rsidR="006A3D5E" w:rsidRPr="00B25D65">
        <w:rPr>
          <w:rFonts w:ascii="Times New Roman" w:hAnsi="Times New Roman" w:cs="Times New Roman"/>
          <w:sz w:val="24"/>
          <w:szCs w:val="24"/>
          <w:lang w:val="en-GB"/>
        </w:rPr>
        <w:t>USD 100.</w:t>
      </w:r>
      <w:r w:rsidRPr="00B25D65">
        <w:rPr>
          <w:rFonts w:ascii="Times New Roman" w:hAnsi="Times New Roman" w:cs="Times New Roman"/>
          <w:sz w:val="24"/>
          <w:szCs w:val="24"/>
          <w:lang w:val="en-GB"/>
        </w:rPr>
        <w:t xml:space="preserve">54 </w:t>
      </w:r>
      <w:proofErr w:type="spellStart"/>
      <w:r w:rsidRPr="00B25D65">
        <w:rPr>
          <w:rFonts w:ascii="Times New Roman" w:hAnsi="Times New Roman" w:cs="Times New Roman"/>
          <w:sz w:val="24"/>
          <w:szCs w:val="24"/>
          <w:lang w:val="en-GB"/>
        </w:rPr>
        <w:t>mln</w:t>
      </w:r>
      <w:proofErr w:type="spellEnd"/>
      <w:r w:rsidRPr="00B25D65">
        <w:rPr>
          <w:rFonts w:ascii="Times New Roman" w:hAnsi="Times New Roman" w:cs="Times New Roman"/>
          <w:sz w:val="24"/>
          <w:szCs w:val="24"/>
          <w:lang w:val="en-GB"/>
        </w:rPr>
        <w:t xml:space="preserve">, the Czech Republic – </w:t>
      </w:r>
      <w:r w:rsidR="006A3D5E" w:rsidRPr="00B25D65">
        <w:rPr>
          <w:rFonts w:ascii="Times New Roman" w:hAnsi="Times New Roman" w:cs="Times New Roman"/>
          <w:sz w:val="24"/>
          <w:szCs w:val="24"/>
          <w:lang w:val="en-GB"/>
        </w:rPr>
        <w:t>USD 65.</w:t>
      </w:r>
      <w:r w:rsidRPr="00B25D65">
        <w:rPr>
          <w:rFonts w:ascii="Times New Roman" w:hAnsi="Times New Roman" w:cs="Times New Roman"/>
          <w:sz w:val="24"/>
          <w:szCs w:val="24"/>
          <w:lang w:val="en-GB"/>
        </w:rPr>
        <w:t>3</w:t>
      </w:r>
      <w:r w:rsidR="006A3D5E" w:rsidRPr="00B25D65">
        <w:rPr>
          <w:rFonts w:ascii="Times New Roman" w:hAnsi="Times New Roman" w:cs="Times New Roman"/>
          <w:sz w:val="24"/>
          <w:szCs w:val="24"/>
          <w:lang w:val="en-GB"/>
        </w:rPr>
        <w:t>0</w:t>
      </w:r>
      <w:r w:rsidRPr="00B25D65">
        <w:rPr>
          <w:rFonts w:ascii="Times New Roman" w:hAnsi="Times New Roman" w:cs="Times New Roman"/>
          <w:sz w:val="24"/>
          <w:szCs w:val="24"/>
          <w:lang w:val="en-GB"/>
        </w:rPr>
        <w:t xml:space="preserve"> </w:t>
      </w:r>
      <w:proofErr w:type="spellStart"/>
      <w:r w:rsidRPr="00B25D65">
        <w:rPr>
          <w:rFonts w:ascii="Times New Roman" w:hAnsi="Times New Roman" w:cs="Times New Roman"/>
          <w:sz w:val="24"/>
          <w:szCs w:val="24"/>
          <w:lang w:val="en-GB"/>
        </w:rPr>
        <w:t>mln</w:t>
      </w:r>
      <w:proofErr w:type="spellEnd"/>
      <w:r w:rsidRPr="00B25D65">
        <w:rPr>
          <w:rFonts w:ascii="Times New Roman" w:hAnsi="Times New Roman" w:cs="Times New Roman"/>
          <w:sz w:val="24"/>
          <w:szCs w:val="24"/>
          <w:lang w:val="en-GB"/>
        </w:rPr>
        <w:t xml:space="preserve"> and the Slovak Republic – </w:t>
      </w:r>
      <w:r w:rsidR="006A3D5E" w:rsidRPr="00B25D65">
        <w:rPr>
          <w:rFonts w:ascii="Times New Roman" w:hAnsi="Times New Roman" w:cs="Times New Roman"/>
          <w:sz w:val="24"/>
          <w:szCs w:val="24"/>
          <w:lang w:val="en-GB"/>
        </w:rPr>
        <w:t>USD 19.</w:t>
      </w:r>
      <w:r w:rsidRPr="00B25D65">
        <w:rPr>
          <w:rFonts w:ascii="Times New Roman" w:hAnsi="Times New Roman" w:cs="Times New Roman"/>
          <w:sz w:val="24"/>
          <w:szCs w:val="24"/>
          <w:lang w:val="en-GB"/>
        </w:rPr>
        <w:t xml:space="preserve">42 </w:t>
      </w:r>
      <w:proofErr w:type="spellStart"/>
      <w:r w:rsidRPr="00B25D65">
        <w:rPr>
          <w:rFonts w:ascii="Times New Roman" w:hAnsi="Times New Roman" w:cs="Times New Roman"/>
          <w:sz w:val="24"/>
          <w:szCs w:val="24"/>
          <w:lang w:val="en-GB"/>
        </w:rPr>
        <w:t>mln</w:t>
      </w:r>
      <w:proofErr w:type="spellEnd"/>
      <w:r w:rsidRPr="00B25D65">
        <w:rPr>
          <w:rFonts w:ascii="Times New Roman" w:hAnsi="Times New Roman" w:cs="Times New Roman"/>
          <w:sz w:val="24"/>
          <w:szCs w:val="24"/>
          <w:lang w:val="en-GB"/>
        </w:rPr>
        <w:t xml:space="preserve">. It constituted </w:t>
      </w:r>
      <w:r w:rsidR="006A3D5E" w:rsidRPr="00B25D65">
        <w:rPr>
          <w:rFonts w:ascii="Times New Roman" w:hAnsi="Times New Roman" w:cs="Times New Roman"/>
          <w:sz w:val="24"/>
          <w:szCs w:val="24"/>
          <w:lang w:val="en-GB"/>
        </w:rPr>
        <w:t>22.</w:t>
      </w:r>
      <w:r w:rsidRPr="00B25D65">
        <w:rPr>
          <w:rFonts w:ascii="Times New Roman" w:hAnsi="Times New Roman" w:cs="Times New Roman"/>
          <w:sz w:val="24"/>
          <w:szCs w:val="24"/>
          <w:lang w:val="en-GB"/>
        </w:rPr>
        <w:t>61</w:t>
      </w:r>
      <w:r w:rsidR="006A3D5E" w:rsidRPr="00B25D65">
        <w:rPr>
          <w:rFonts w:ascii="Times New Roman" w:hAnsi="Times New Roman" w:cs="Times New Roman"/>
          <w:sz w:val="24"/>
          <w:szCs w:val="24"/>
          <w:lang w:val="en-GB"/>
        </w:rPr>
        <w:t>% of total bilateral Polish aid, 7.</w:t>
      </w:r>
      <w:r w:rsidRPr="00B25D65">
        <w:rPr>
          <w:rFonts w:ascii="Times New Roman" w:hAnsi="Times New Roman" w:cs="Times New Roman"/>
          <w:sz w:val="24"/>
          <w:szCs w:val="24"/>
          <w:lang w:val="en-GB"/>
        </w:rPr>
        <w:t>42% of Hungarian</w:t>
      </w:r>
      <w:r w:rsidR="006A3D5E" w:rsidRPr="00B25D65">
        <w:rPr>
          <w:rFonts w:ascii="Times New Roman" w:hAnsi="Times New Roman" w:cs="Times New Roman"/>
          <w:sz w:val="24"/>
          <w:szCs w:val="24"/>
          <w:lang w:val="en-GB"/>
        </w:rPr>
        <w:t>, 4.13% of Czech and 3.</w:t>
      </w:r>
      <w:r w:rsidRPr="00B25D65">
        <w:rPr>
          <w:rFonts w:ascii="Times New Roman" w:hAnsi="Times New Roman" w:cs="Times New Roman"/>
          <w:sz w:val="24"/>
          <w:szCs w:val="24"/>
          <w:lang w:val="en-GB"/>
        </w:rPr>
        <w:t>99% of Slovak aid. At the same time, the four</w:t>
      </w:r>
      <w:r w:rsidR="006A3D5E" w:rsidRPr="00B25D65">
        <w:rPr>
          <w:rFonts w:ascii="Times New Roman" w:hAnsi="Times New Roman" w:cs="Times New Roman"/>
          <w:sz w:val="24"/>
          <w:szCs w:val="24"/>
          <w:lang w:val="en-GB"/>
        </w:rPr>
        <w:t xml:space="preserve"> CEE countries delivered only 3.</w:t>
      </w:r>
      <w:r w:rsidRPr="00B25D65">
        <w:rPr>
          <w:rFonts w:ascii="Times New Roman" w:hAnsi="Times New Roman" w:cs="Times New Roman"/>
          <w:sz w:val="24"/>
          <w:szCs w:val="24"/>
          <w:lang w:val="en-GB"/>
        </w:rPr>
        <w:t>91% of total official donors’ ODA to Ukraine</w:t>
      </w:r>
      <w:r w:rsidR="006A3D5E" w:rsidRPr="00B25D65">
        <w:rPr>
          <w:rFonts w:ascii="Times New Roman" w:hAnsi="Times New Roman" w:cs="Times New Roman"/>
          <w:sz w:val="24"/>
          <w:szCs w:val="24"/>
          <w:lang w:val="en-GB"/>
        </w:rPr>
        <w:t xml:space="preserve"> (OECD, 2023d)</w:t>
      </w:r>
      <w:r w:rsidRPr="00B25D65">
        <w:rPr>
          <w:rFonts w:ascii="Times New Roman" w:hAnsi="Times New Roman" w:cs="Times New Roman"/>
          <w:sz w:val="24"/>
          <w:szCs w:val="24"/>
          <w:lang w:val="en-GB"/>
        </w:rPr>
        <w:t xml:space="preserve">. </w:t>
      </w:r>
    </w:p>
    <w:p w:rsidR="004D23B0" w:rsidRPr="00B25D65" w:rsidRDefault="004D23B0" w:rsidP="00B25D65">
      <w:pPr>
        <w:spacing w:after="0" w:line="240" w:lineRule="auto"/>
        <w:ind w:firstLine="708"/>
        <w:jc w:val="both"/>
        <w:rPr>
          <w:rFonts w:ascii="Times New Roman" w:hAnsi="Times New Roman" w:cs="Times New Roman"/>
          <w:sz w:val="24"/>
          <w:szCs w:val="24"/>
          <w:lang w:val="en-GB"/>
        </w:rPr>
      </w:pPr>
      <w:r w:rsidRPr="00B25D65">
        <w:rPr>
          <w:rFonts w:ascii="Times New Roman" w:hAnsi="Times New Roman" w:cs="Times New Roman"/>
          <w:sz w:val="24"/>
          <w:szCs w:val="24"/>
          <w:lang w:val="en-GB"/>
        </w:rPr>
        <w:lastRenderedPageBreak/>
        <w:t xml:space="preserve">Currently, the most </w:t>
      </w:r>
      <w:r w:rsidR="006A3D5E" w:rsidRPr="00B25D65">
        <w:rPr>
          <w:rFonts w:ascii="Times New Roman" w:hAnsi="Times New Roman" w:cs="Times New Roman"/>
          <w:sz w:val="24"/>
          <w:szCs w:val="24"/>
          <w:lang w:val="en-GB"/>
        </w:rPr>
        <w:t>critical</w:t>
      </w:r>
      <w:r w:rsidRPr="00B25D65">
        <w:rPr>
          <w:rFonts w:ascii="Times New Roman" w:hAnsi="Times New Roman" w:cs="Times New Roman"/>
          <w:sz w:val="24"/>
          <w:szCs w:val="24"/>
          <w:lang w:val="en-GB"/>
        </w:rPr>
        <w:t xml:space="preserve"> condition for providing aid to Ukraine is the full-scale attack by Russia</w:t>
      </w:r>
      <w:r w:rsidR="006A3D5E" w:rsidRPr="00B25D65">
        <w:rPr>
          <w:rFonts w:ascii="Times New Roman" w:hAnsi="Times New Roman" w:cs="Times New Roman"/>
          <w:sz w:val="24"/>
          <w:szCs w:val="24"/>
          <w:lang w:val="en-GB"/>
        </w:rPr>
        <w:t>, which</w:t>
      </w:r>
      <w:r w:rsidRPr="00B25D65">
        <w:rPr>
          <w:rFonts w:ascii="Times New Roman" w:hAnsi="Times New Roman" w:cs="Times New Roman"/>
          <w:sz w:val="24"/>
          <w:szCs w:val="24"/>
          <w:lang w:val="en-GB"/>
        </w:rPr>
        <w:t xml:space="preserve"> started in 2022. The main consequence is the need for increased support (in terms of humanitarian aid, development aid and securing the Ukrainian refugees</w:t>
      </w:r>
      <w:r w:rsidR="006A3D5E" w:rsidRPr="00B25D65">
        <w:rPr>
          <w:rFonts w:ascii="Times New Roman" w:hAnsi="Times New Roman" w:cs="Times New Roman"/>
          <w:sz w:val="24"/>
          <w:szCs w:val="24"/>
          <w:lang w:val="en-GB"/>
        </w:rPr>
        <w:t>’</w:t>
      </w:r>
      <w:r w:rsidRPr="00B25D65">
        <w:rPr>
          <w:rFonts w:ascii="Times New Roman" w:hAnsi="Times New Roman" w:cs="Times New Roman"/>
          <w:sz w:val="24"/>
          <w:szCs w:val="24"/>
          <w:lang w:val="en-GB"/>
        </w:rPr>
        <w:t xml:space="preserve"> stays in other countries). </w:t>
      </w:r>
      <w:r w:rsidR="006A3D5E" w:rsidRPr="00B25D65">
        <w:rPr>
          <w:rFonts w:ascii="Times New Roman" w:hAnsi="Times New Roman" w:cs="Times New Roman"/>
          <w:sz w:val="24"/>
          <w:szCs w:val="24"/>
          <w:lang w:val="en-GB"/>
        </w:rPr>
        <w:t xml:space="preserve">Total </w:t>
      </w:r>
      <w:r w:rsidRPr="00B25D65">
        <w:rPr>
          <w:rFonts w:ascii="Times New Roman" w:hAnsi="Times New Roman" w:cs="Times New Roman"/>
          <w:sz w:val="24"/>
          <w:szCs w:val="24"/>
          <w:lang w:val="en-GB"/>
        </w:rPr>
        <w:t>ODA to Ukraine grew signifi</w:t>
      </w:r>
      <w:r w:rsidR="006A3D5E" w:rsidRPr="00B25D65">
        <w:rPr>
          <w:rFonts w:ascii="Times New Roman" w:hAnsi="Times New Roman" w:cs="Times New Roman"/>
          <w:sz w:val="24"/>
          <w:szCs w:val="24"/>
          <w:lang w:val="en-GB"/>
        </w:rPr>
        <w:t>cantly (OECD, 2023d), also in the case of three CEE countries</w:t>
      </w:r>
      <w:r w:rsidRPr="00B25D65">
        <w:rPr>
          <w:rFonts w:ascii="Times New Roman" w:hAnsi="Times New Roman" w:cs="Times New Roman"/>
          <w:sz w:val="24"/>
          <w:szCs w:val="24"/>
          <w:lang w:val="en-GB"/>
        </w:rPr>
        <w:t xml:space="preserve"> – Poland (from </w:t>
      </w:r>
      <w:r w:rsidR="006A3D5E" w:rsidRPr="00B25D65">
        <w:rPr>
          <w:rFonts w:ascii="Times New Roman" w:hAnsi="Times New Roman" w:cs="Times New Roman"/>
          <w:sz w:val="24"/>
          <w:szCs w:val="24"/>
          <w:lang w:val="en-GB"/>
        </w:rPr>
        <w:t>USD 94.</w:t>
      </w:r>
      <w:r w:rsidRPr="00B25D65">
        <w:rPr>
          <w:rFonts w:ascii="Times New Roman" w:hAnsi="Times New Roman" w:cs="Times New Roman"/>
          <w:sz w:val="24"/>
          <w:szCs w:val="24"/>
          <w:lang w:val="en-GB"/>
        </w:rPr>
        <w:t xml:space="preserve">89 </w:t>
      </w:r>
      <w:proofErr w:type="spellStart"/>
      <w:r w:rsidRPr="00B25D65">
        <w:rPr>
          <w:rFonts w:ascii="Times New Roman" w:hAnsi="Times New Roman" w:cs="Times New Roman"/>
          <w:sz w:val="24"/>
          <w:szCs w:val="24"/>
          <w:lang w:val="en-GB"/>
        </w:rPr>
        <w:t>mln</w:t>
      </w:r>
      <w:proofErr w:type="spellEnd"/>
      <w:r w:rsidR="006A3D5E" w:rsidRPr="00B25D65">
        <w:rPr>
          <w:rFonts w:ascii="Times New Roman" w:hAnsi="Times New Roman" w:cs="Times New Roman"/>
          <w:sz w:val="24"/>
          <w:szCs w:val="24"/>
          <w:lang w:val="en-GB"/>
        </w:rPr>
        <w:t xml:space="preserve"> </w:t>
      </w:r>
      <w:r w:rsidRPr="00B25D65">
        <w:rPr>
          <w:rFonts w:ascii="Times New Roman" w:hAnsi="Times New Roman" w:cs="Times New Roman"/>
          <w:sz w:val="24"/>
          <w:szCs w:val="24"/>
          <w:lang w:val="en-GB"/>
        </w:rPr>
        <w:t xml:space="preserve">in 2021 to </w:t>
      </w:r>
      <w:r w:rsidR="006A3D5E" w:rsidRPr="00B25D65">
        <w:rPr>
          <w:rFonts w:ascii="Times New Roman" w:hAnsi="Times New Roman" w:cs="Times New Roman"/>
          <w:sz w:val="24"/>
          <w:szCs w:val="24"/>
          <w:lang w:val="en-GB"/>
        </w:rPr>
        <w:t xml:space="preserve">USD 226.50 </w:t>
      </w:r>
      <w:proofErr w:type="spellStart"/>
      <w:r w:rsidR="006A3D5E" w:rsidRPr="00B25D65">
        <w:rPr>
          <w:rFonts w:ascii="Times New Roman" w:hAnsi="Times New Roman" w:cs="Times New Roman"/>
          <w:sz w:val="24"/>
          <w:szCs w:val="24"/>
          <w:lang w:val="en-GB"/>
        </w:rPr>
        <w:t>mln</w:t>
      </w:r>
      <w:proofErr w:type="spellEnd"/>
      <w:r w:rsidRPr="00B25D65">
        <w:rPr>
          <w:rFonts w:ascii="Times New Roman" w:hAnsi="Times New Roman" w:cs="Times New Roman"/>
          <w:sz w:val="24"/>
          <w:szCs w:val="24"/>
          <w:lang w:val="en-GB"/>
        </w:rPr>
        <w:t xml:space="preserve"> in 2022), Czech Republic (from </w:t>
      </w:r>
      <w:r w:rsidR="006A3D5E" w:rsidRPr="00B25D65">
        <w:rPr>
          <w:rFonts w:ascii="Times New Roman" w:hAnsi="Times New Roman" w:cs="Times New Roman"/>
          <w:sz w:val="24"/>
          <w:szCs w:val="24"/>
          <w:lang w:val="en-GB"/>
        </w:rPr>
        <w:t>USD 4.</w:t>
      </w:r>
      <w:r w:rsidRPr="00B25D65">
        <w:rPr>
          <w:rFonts w:ascii="Times New Roman" w:hAnsi="Times New Roman" w:cs="Times New Roman"/>
          <w:sz w:val="24"/>
          <w:szCs w:val="24"/>
          <w:lang w:val="en-GB"/>
        </w:rPr>
        <w:t xml:space="preserve">08 </w:t>
      </w:r>
      <w:proofErr w:type="spellStart"/>
      <w:r w:rsidRPr="00B25D65">
        <w:rPr>
          <w:rFonts w:ascii="Times New Roman" w:hAnsi="Times New Roman" w:cs="Times New Roman"/>
          <w:sz w:val="24"/>
          <w:szCs w:val="24"/>
          <w:lang w:val="en-GB"/>
        </w:rPr>
        <w:t>mln</w:t>
      </w:r>
      <w:proofErr w:type="spellEnd"/>
      <w:r w:rsidRPr="00B25D65">
        <w:rPr>
          <w:rFonts w:ascii="Times New Roman" w:hAnsi="Times New Roman" w:cs="Times New Roman"/>
          <w:sz w:val="24"/>
          <w:szCs w:val="24"/>
          <w:lang w:val="en-GB"/>
        </w:rPr>
        <w:t xml:space="preserve"> in 2021 to </w:t>
      </w:r>
      <w:r w:rsidR="006A3D5E" w:rsidRPr="00B25D65">
        <w:rPr>
          <w:rFonts w:ascii="Times New Roman" w:hAnsi="Times New Roman" w:cs="Times New Roman"/>
          <w:sz w:val="24"/>
          <w:szCs w:val="24"/>
          <w:lang w:val="en-GB"/>
        </w:rPr>
        <w:t>USD 23.</w:t>
      </w:r>
      <w:r w:rsidRPr="00B25D65">
        <w:rPr>
          <w:rFonts w:ascii="Times New Roman" w:hAnsi="Times New Roman" w:cs="Times New Roman"/>
          <w:sz w:val="24"/>
          <w:szCs w:val="24"/>
          <w:lang w:val="en-GB"/>
        </w:rPr>
        <w:t xml:space="preserve">20 </w:t>
      </w:r>
      <w:proofErr w:type="spellStart"/>
      <w:r w:rsidRPr="00B25D65">
        <w:rPr>
          <w:rFonts w:ascii="Times New Roman" w:hAnsi="Times New Roman" w:cs="Times New Roman"/>
          <w:sz w:val="24"/>
          <w:szCs w:val="24"/>
          <w:lang w:val="en-GB"/>
        </w:rPr>
        <w:t>mln</w:t>
      </w:r>
      <w:proofErr w:type="spellEnd"/>
      <w:r w:rsidR="006A3D5E" w:rsidRPr="00B25D65">
        <w:rPr>
          <w:rFonts w:ascii="Times New Roman" w:hAnsi="Times New Roman" w:cs="Times New Roman"/>
          <w:sz w:val="24"/>
          <w:szCs w:val="24"/>
          <w:lang w:val="en-GB"/>
        </w:rPr>
        <w:t xml:space="preserve"> </w:t>
      </w:r>
      <w:r w:rsidRPr="00B25D65">
        <w:rPr>
          <w:rFonts w:ascii="Times New Roman" w:hAnsi="Times New Roman" w:cs="Times New Roman"/>
          <w:sz w:val="24"/>
          <w:szCs w:val="24"/>
          <w:lang w:val="en-GB"/>
        </w:rPr>
        <w:t xml:space="preserve">in 2022) and </w:t>
      </w:r>
      <w:r w:rsidR="006A3D5E" w:rsidRPr="00B25D65">
        <w:rPr>
          <w:rFonts w:ascii="Times New Roman" w:hAnsi="Times New Roman" w:cs="Times New Roman"/>
          <w:sz w:val="24"/>
          <w:szCs w:val="24"/>
          <w:lang w:val="en-GB"/>
        </w:rPr>
        <w:t>the Slovak Republic</w:t>
      </w:r>
      <w:r w:rsidRPr="00B25D65">
        <w:rPr>
          <w:rFonts w:ascii="Times New Roman" w:hAnsi="Times New Roman" w:cs="Times New Roman"/>
          <w:sz w:val="24"/>
          <w:szCs w:val="24"/>
          <w:lang w:val="en-GB"/>
        </w:rPr>
        <w:t xml:space="preserve"> (from </w:t>
      </w:r>
      <w:r w:rsidR="006A3D5E" w:rsidRPr="00B25D65">
        <w:rPr>
          <w:rFonts w:ascii="Times New Roman" w:hAnsi="Times New Roman" w:cs="Times New Roman"/>
          <w:sz w:val="24"/>
          <w:szCs w:val="24"/>
          <w:lang w:val="en-GB"/>
        </w:rPr>
        <w:t>USD 1.</w:t>
      </w:r>
      <w:r w:rsidRPr="00B25D65">
        <w:rPr>
          <w:rFonts w:ascii="Times New Roman" w:hAnsi="Times New Roman" w:cs="Times New Roman"/>
          <w:sz w:val="24"/>
          <w:szCs w:val="24"/>
          <w:lang w:val="en-GB"/>
        </w:rPr>
        <w:t xml:space="preserve">54 </w:t>
      </w:r>
      <w:proofErr w:type="spellStart"/>
      <w:r w:rsidRPr="00B25D65">
        <w:rPr>
          <w:rFonts w:ascii="Times New Roman" w:hAnsi="Times New Roman" w:cs="Times New Roman"/>
          <w:sz w:val="24"/>
          <w:szCs w:val="24"/>
          <w:lang w:val="en-GB"/>
        </w:rPr>
        <w:t>mln</w:t>
      </w:r>
      <w:proofErr w:type="spellEnd"/>
      <w:r w:rsidRPr="00B25D65">
        <w:rPr>
          <w:rFonts w:ascii="Times New Roman" w:hAnsi="Times New Roman" w:cs="Times New Roman"/>
          <w:sz w:val="24"/>
          <w:szCs w:val="24"/>
          <w:lang w:val="en-GB"/>
        </w:rPr>
        <w:t xml:space="preserve"> in 2021 to </w:t>
      </w:r>
      <w:r w:rsidR="006A3D5E" w:rsidRPr="00B25D65">
        <w:rPr>
          <w:rFonts w:ascii="Times New Roman" w:hAnsi="Times New Roman" w:cs="Times New Roman"/>
          <w:sz w:val="24"/>
          <w:szCs w:val="24"/>
          <w:lang w:val="en-GB"/>
        </w:rPr>
        <w:t>USD 8.</w:t>
      </w:r>
      <w:r w:rsidRPr="00B25D65">
        <w:rPr>
          <w:rFonts w:ascii="Times New Roman" w:hAnsi="Times New Roman" w:cs="Times New Roman"/>
          <w:sz w:val="24"/>
          <w:szCs w:val="24"/>
          <w:lang w:val="en-GB"/>
        </w:rPr>
        <w:t xml:space="preserve">60 </w:t>
      </w:r>
      <w:proofErr w:type="spellStart"/>
      <w:r w:rsidRPr="00B25D65">
        <w:rPr>
          <w:rFonts w:ascii="Times New Roman" w:hAnsi="Times New Roman" w:cs="Times New Roman"/>
          <w:sz w:val="24"/>
          <w:szCs w:val="24"/>
          <w:lang w:val="en-GB"/>
        </w:rPr>
        <w:t>mln</w:t>
      </w:r>
      <w:proofErr w:type="spellEnd"/>
      <w:r w:rsidRPr="00B25D65">
        <w:rPr>
          <w:rFonts w:ascii="Times New Roman" w:hAnsi="Times New Roman" w:cs="Times New Roman"/>
          <w:sz w:val="24"/>
          <w:szCs w:val="24"/>
          <w:lang w:val="en-GB"/>
        </w:rPr>
        <w:t xml:space="preserve"> in 2022). </w:t>
      </w:r>
      <w:r w:rsidR="006A3D5E" w:rsidRPr="00B25D65">
        <w:rPr>
          <w:rFonts w:ascii="Times New Roman" w:hAnsi="Times New Roman" w:cs="Times New Roman"/>
          <w:sz w:val="24"/>
          <w:szCs w:val="24"/>
          <w:lang w:val="en-GB"/>
        </w:rPr>
        <w:t xml:space="preserve">Only </w:t>
      </w:r>
      <w:r w:rsidRPr="00B25D65">
        <w:rPr>
          <w:rFonts w:ascii="Times New Roman" w:hAnsi="Times New Roman" w:cs="Times New Roman"/>
          <w:sz w:val="24"/>
          <w:szCs w:val="24"/>
          <w:lang w:val="en-GB"/>
        </w:rPr>
        <w:t xml:space="preserve">Hungary decreased its aid (from </w:t>
      </w:r>
      <w:r w:rsidR="006A3D5E" w:rsidRPr="00B25D65">
        <w:rPr>
          <w:rFonts w:ascii="Times New Roman" w:hAnsi="Times New Roman" w:cs="Times New Roman"/>
          <w:sz w:val="24"/>
          <w:szCs w:val="24"/>
          <w:lang w:val="en-GB"/>
        </w:rPr>
        <w:t>USD 20.</w:t>
      </w:r>
      <w:r w:rsidRPr="00B25D65">
        <w:rPr>
          <w:rFonts w:ascii="Times New Roman" w:hAnsi="Times New Roman" w:cs="Times New Roman"/>
          <w:sz w:val="24"/>
          <w:szCs w:val="24"/>
          <w:lang w:val="en-GB"/>
        </w:rPr>
        <w:t xml:space="preserve">79 </w:t>
      </w:r>
      <w:proofErr w:type="spellStart"/>
      <w:r w:rsidRPr="00B25D65">
        <w:rPr>
          <w:rFonts w:ascii="Times New Roman" w:hAnsi="Times New Roman" w:cs="Times New Roman"/>
          <w:sz w:val="24"/>
          <w:szCs w:val="24"/>
          <w:lang w:val="en-GB"/>
        </w:rPr>
        <w:t>mln</w:t>
      </w:r>
      <w:proofErr w:type="spellEnd"/>
      <w:r w:rsidRPr="00B25D65">
        <w:rPr>
          <w:rFonts w:ascii="Times New Roman" w:hAnsi="Times New Roman" w:cs="Times New Roman"/>
          <w:sz w:val="24"/>
          <w:szCs w:val="24"/>
          <w:lang w:val="en-GB"/>
        </w:rPr>
        <w:t xml:space="preserve"> in 2021 to </w:t>
      </w:r>
      <w:r w:rsidR="006A3D5E" w:rsidRPr="00B25D65">
        <w:rPr>
          <w:rFonts w:ascii="Times New Roman" w:hAnsi="Times New Roman" w:cs="Times New Roman"/>
          <w:sz w:val="24"/>
          <w:szCs w:val="24"/>
          <w:lang w:val="en-GB"/>
        </w:rPr>
        <w:t xml:space="preserve">USD </w:t>
      </w:r>
      <w:r w:rsidR="00E32024" w:rsidRPr="00B25D65">
        <w:rPr>
          <w:rFonts w:ascii="Times New Roman" w:hAnsi="Times New Roman" w:cs="Times New Roman"/>
          <w:sz w:val="24"/>
          <w:szCs w:val="24"/>
          <w:lang w:val="en-GB"/>
        </w:rPr>
        <w:t>14.</w:t>
      </w:r>
      <w:r w:rsidRPr="00B25D65">
        <w:rPr>
          <w:rFonts w:ascii="Times New Roman" w:hAnsi="Times New Roman" w:cs="Times New Roman"/>
          <w:sz w:val="24"/>
          <w:szCs w:val="24"/>
          <w:lang w:val="en-GB"/>
        </w:rPr>
        <w:t xml:space="preserve">80 </w:t>
      </w:r>
      <w:proofErr w:type="spellStart"/>
      <w:r w:rsidRPr="00B25D65">
        <w:rPr>
          <w:rFonts w:ascii="Times New Roman" w:hAnsi="Times New Roman" w:cs="Times New Roman"/>
          <w:sz w:val="24"/>
          <w:szCs w:val="24"/>
          <w:lang w:val="en-GB"/>
        </w:rPr>
        <w:t>mln</w:t>
      </w:r>
      <w:proofErr w:type="spellEnd"/>
      <w:r w:rsidRPr="00B25D65">
        <w:rPr>
          <w:rFonts w:ascii="Times New Roman" w:hAnsi="Times New Roman" w:cs="Times New Roman"/>
          <w:sz w:val="24"/>
          <w:szCs w:val="24"/>
          <w:lang w:val="en-GB"/>
        </w:rPr>
        <w:t xml:space="preserve"> in 2022). </w:t>
      </w:r>
    </w:p>
    <w:p w:rsidR="004D23B0" w:rsidRPr="00B25D65" w:rsidRDefault="004D23B0" w:rsidP="00B25D65">
      <w:pPr>
        <w:spacing w:after="0" w:line="240" w:lineRule="auto"/>
        <w:ind w:firstLine="708"/>
        <w:jc w:val="both"/>
        <w:rPr>
          <w:rFonts w:ascii="Times New Roman" w:hAnsi="Times New Roman" w:cs="Times New Roman"/>
          <w:sz w:val="24"/>
          <w:szCs w:val="24"/>
          <w:lang w:val="en-GB"/>
        </w:rPr>
      </w:pPr>
      <w:r w:rsidRPr="00B25D65">
        <w:rPr>
          <w:rFonts w:ascii="Times New Roman" w:hAnsi="Times New Roman" w:cs="Times New Roman"/>
          <w:sz w:val="24"/>
          <w:szCs w:val="24"/>
          <w:lang w:val="en-GB"/>
        </w:rPr>
        <w:t>Without a doubt, Ukraine</w:t>
      </w:r>
      <w:r w:rsidR="00E32024" w:rsidRPr="00B25D65">
        <w:rPr>
          <w:rFonts w:ascii="Times New Roman" w:hAnsi="Times New Roman" w:cs="Times New Roman"/>
          <w:sz w:val="24"/>
          <w:szCs w:val="24"/>
          <w:lang w:val="en-GB"/>
        </w:rPr>
        <w:t>,</w:t>
      </w:r>
      <w:r w:rsidRPr="00B25D65">
        <w:rPr>
          <w:rFonts w:ascii="Times New Roman" w:hAnsi="Times New Roman" w:cs="Times New Roman"/>
          <w:sz w:val="24"/>
          <w:szCs w:val="24"/>
          <w:lang w:val="en-GB"/>
        </w:rPr>
        <w:t xml:space="preserve"> during the war</w:t>
      </w:r>
      <w:r w:rsidR="00E32024" w:rsidRPr="00B25D65">
        <w:rPr>
          <w:rFonts w:ascii="Times New Roman" w:hAnsi="Times New Roman" w:cs="Times New Roman"/>
          <w:sz w:val="24"/>
          <w:szCs w:val="24"/>
          <w:lang w:val="en-GB"/>
        </w:rPr>
        <w:t>,</w:t>
      </w:r>
      <w:r w:rsidRPr="00B25D65">
        <w:rPr>
          <w:rFonts w:ascii="Times New Roman" w:hAnsi="Times New Roman" w:cs="Times New Roman"/>
          <w:sz w:val="24"/>
          <w:szCs w:val="24"/>
          <w:lang w:val="en-GB"/>
        </w:rPr>
        <w:t xml:space="preserve"> still needs and – after its end – will need international assistance. Therefore, the paper aims to consider the securitisation of aid as an impulse to enhance selected CEE countries’ future aid to Ukraine. Notably, I do not use the term “securitisation” strictly</w:t>
      </w:r>
      <w:r w:rsidR="00E32024" w:rsidRPr="00B25D65">
        <w:rPr>
          <w:rFonts w:ascii="Times New Roman" w:hAnsi="Times New Roman" w:cs="Times New Roman"/>
          <w:sz w:val="24"/>
          <w:szCs w:val="24"/>
          <w:lang w:val="en-GB"/>
        </w:rPr>
        <w:t>,</w:t>
      </w:r>
      <w:r w:rsidRPr="00B25D65">
        <w:rPr>
          <w:rFonts w:ascii="Times New Roman" w:hAnsi="Times New Roman" w:cs="Times New Roman"/>
          <w:sz w:val="24"/>
          <w:szCs w:val="24"/>
          <w:lang w:val="en-GB"/>
        </w:rPr>
        <w:t xml:space="preserve"> as presented originally by representatives of the Copenhagen School. Aid is not “the issue presented as an existential threat, requiring emergency measures and justifying actions outside the normal bounds of political procedure”</w:t>
      </w:r>
      <w:r w:rsidR="00E32024" w:rsidRPr="00B25D65">
        <w:rPr>
          <w:rFonts w:ascii="Times New Roman" w:hAnsi="Times New Roman" w:cs="Times New Roman"/>
          <w:sz w:val="24"/>
          <w:szCs w:val="24"/>
          <w:lang w:val="en-GB"/>
        </w:rPr>
        <w:t xml:space="preserve"> (</w:t>
      </w:r>
      <w:proofErr w:type="spellStart"/>
      <w:r w:rsidR="00E32024" w:rsidRPr="00B25D65">
        <w:rPr>
          <w:rFonts w:ascii="Times New Roman" w:hAnsi="Times New Roman" w:cs="Times New Roman"/>
          <w:sz w:val="24"/>
          <w:szCs w:val="24"/>
          <w:lang w:val="en-GB"/>
        </w:rPr>
        <w:t>Buzan</w:t>
      </w:r>
      <w:proofErr w:type="spellEnd"/>
      <w:r w:rsidR="00E32024" w:rsidRPr="00B25D65">
        <w:rPr>
          <w:rFonts w:ascii="Times New Roman" w:hAnsi="Times New Roman" w:cs="Times New Roman"/>
          <w:sz w:val="24"/>
          <w:szCs w:val="24"/>
          <w:lang w:val="en-GB"/>
        </w:rPr>
        <w:t xml:space="preserve"> et al., 1998, pp. 23-24)</w:t>
      </w:r>
      <w:r w:rsidRPr="00B25D65">
        <w:rPr>
          <w:rFonts w:ascii="Times New Roman" w:hAnsi="Times New Roman" w:cs="Times New Roman"/>
          <w:sz w:val="24"/>
          <w:szCs w:val="24"/>
          <w:lang w:val="en-GB"/>
        </w:rPr>
        <w:t>. It is not perceived as a threat in itself but as a tool for securitising problems that have been included in the development agenda. In other words, aid implements the donors’ interests related to security. Securitisation understood in this way may manifest itself, for example, through political declarations related to the reasons for undertaking aid activities, justification of aid activities in strategic documents, directing</w:t>
      </w:r>
      <w:r w:rsidR="00E32024" w:rsidRPr="00B25D65">
        <w:rPr>
          <w:rFonts w:ascii="Times New Roman" w:hAnsi="Times New Roman" w:cs="Times New Roman"/>
          <w:sz w:val="24"/>
          <w:szCs w:val="24"/>
          <w:lang w:val="en-GB"/>
        </w:rPr>
        <w:t xml:space="preserve"> ODA to specific beneficiaries and </w:t>
      </w:r>
      <w:r w:rsidRPr="00B25D65">
        <w:rPr>
          <w:rFonts w:ascii="Times New Roman" w:hAnsi="Times New Roman" w:cs="Times New Roman"/>
          <w:sz w:val="24"/>
          <w:szCs w:val="24"/>
          <w:lang w:val="en-GB"/>
        </w:rPr>
        <w:t xml:space="preserve">the method of shaping priorities to be achieved through ODA. This approach was also presented by S. Brown and J. </w:t>
      </w:r>
      <w:proofErr w:type="spellStart"/>
      <w:r w:rsidRPr="00B25D65">
        <w:rPr>
          <w:rFonts w:ascii="Times New Roman" w:hAnsi="Times New Roman" w:cs="Times New Roman"/>
          <w:sz w:val="24"/>
          <w:szCs w:val="24"/>
          <w:lang w:val="en-GB"/>
        </w:rPr>
        <w:t>Grävingholt</w:t>
      </w:r>
      <w:proofErr w:type="spellEnd"/>
      <w:r w:rsidR="00E32024" w:rsidRPr="00B25D65">
        <w:rPr>
          <w:rFonts w:ascii="Times New Roman" w:hAnsi="Times New Roman" w:cs="Times New Roman"/>
          <w:sz w:val="24"/>
          <w:szCs w:val="24"/>
          <w:lang w:val="en-GB"/>
        </w:rPr>
        <w:t xml:space="preserve"> (2016, p. 3)</w:t>
      </w:r>
      <w:r w:rsidRPr="00B25D65">
        <w:rPr>
          <w:rFonts w:ascii="Times New Roman" w:hAnsi="Times New Roman" w:cs="Times New Roman"/>
          <w:sz w:val="24"/>
          <w:szCs w:val="24"/>
          <w:lang w:val="en-GB"/>
        </w:rPr>
        <w:t>.</w:t>
      </w:r>
    </w:p>
    <w:p w:rsidR="004D23B0" w:rsidRPr="00B25D65" w:rsidRDefault="004D23B0" w:rsidP="00B25D65">
      <w:pPr>
        <w:spacing w:after="0" w:line="240" w:lineRule="auto"/>
        <w:ind w:firstLine="708"/>
        <w:jc w:val="both"/>
        <w:rPr>
          <w:rFonts w:ascii="Times New Roman" w:hAnsi="Times New Roman" w:cs="Times New Roman"/>
          <w:sz w:val="24"/>
          <w:szCs w:val="24"/>
          <w:lang w:val="en-GB"/>
        </w:rPr>
      </w:pPr>
      <w:r w:rsidRPr="00B25D65">
        <w:rPr>
          <w:rFonts w:ascii="Times New Roman" w:hAnsi="Times New Roman" w:cs="Times New Roman"/>
          <w:sz w:val="24"/>
          <w:szCs w:val="24"/>
          <w:lang w:val="en-GB"/>
        </w:rPr>
        <w:t xml:space="preserve">Consequently, taking into account ODA delivered to Ukraine by selected CEE countries from 2005 to 2021, the current state of aid (2022-2023) and perspectives on supporting Ukraine in the future, it is crucial to answer the following questions: </w:t>
      </w:r>
    </w:p>
    <w:p w:rsidR="004D23B0" w:rsidRPr="00B25D65" w:rsidRDefault="004D23B0" w:rsidP="00B25D65">
      <w:pPr>
        <w:pStyle w:val="Akapitzlist"/>
        <w:numPr>
          <w:ilvl w:val="0"/>
          <w:numId w:val="1"/>
        </w:numPr>
        <w:spacing w:after="0" w:line="240" w:lineRule="auto"/>
        <w:jc w:val="both"/>
        <w:rPr>
          <w:rFonts w:ascii="Times New Roman" w:hAnsi="Times New Roman" w:cs="Times New Roman"/>
          <w:sz w:val="24"/>
          <w:szCs w:val="24"/>
          <w:lang w:val="en-GB"/>
        </w:rPr>
      </w:pPr>
      <w:r w:rsidRPr="00B25D65">
        <w:rPr>
          <w:rFonts w:ascii="Times New Roman" w:hAnsi="Times New Roman" w:cs="Times New Roman"/>
          <w:sz w:val="24"/>
          <w:szCs w:val="24"/>
          <w:lang w:val="en-GB"/>
        </w:rPr>
        <w:t>Did the four donors consider assisting Ukraine before 2022 as an effort to strengthen their security?</w:t>
      </w:r>
    </w:p>
    <w:p w:rsidR="004D23B0" w:rsidRPr="00B25D65" w:rsidRDefault="004D23B0" w:rsidP="00B25D65">
      <w:pPr>
        <w:pStyle w:val="Akapitzlist"/>
        <w:numPr>
          <w:ilvl w:val="0"/>
          <w:numId w:val="1"/>
        </w:numPr>
        <w:spacing w:after="0" w:line="240" w:lineRule="auto"/>
        <w:jc w:val="both"/>
        <w:rPr>
          <w:rFonts w:ascii="Times New Roman" w:hAnsi="Times New Roman" w:cs="Times New Roman"/>
          <w:sz w:val="24"/>
          <w:szCs w:val="24"/>
          <w:lang w:val="en-GB"/>
        </w:rPr>
      </w:pPr>
      <w:r w:rsidRPr="00B25D65">
        <w:rPr>
          <w:rFonts w:ascii="Times New Roman" w:hAnsi="Times New Roman" w:cs="Times New Roman"/>
          <w:sz w:val="24"/>
          <w:szCs w:val="24"/>
          <w:lang w:val="en-GB"/>
        </w:rPr>
        <w:t xml:space="preserve">Is the aid delivered to Ukraine by the four donors securitised since 2022? </w:t>
      </w:r>
    </w:p>
    <w:p w:rsidR="004D23B0" w:rsidRPr="00B25D65" w:rsidRDefault="004D23B0" w:rsidP="00B25D65">
      <w:pPr>
        <w:pStyle w:val="Akapitzlist"/>
        <w:numPr>
          <w:ilvl w:val="0"/>
          <w:numId w:val="1"/>
        </w:numPr>
        <w:spacing w:after="0" w:line="240" w:lineRule="auto"/>
        <w:jc w:val="both"/>
        <w:rPr>
          <w:rFonts w:ascii="Times New Roman" w:hAnsi="Times New Roman" w:cs="Times New Roman"/>
          <w:sz w:val="24"/>
          <w:szCs w:val="24"/>
          <w:lang w:val="en-GB"/>
        </w:rPr>
      </w:pPr>
      <w:r w:rsidRPr="00B25D65">
        <w:rPr>
          <w:rFonts w:ascii="Times New Roman" w:hAnsi="Times New Roman" w:cs="Times New Roman"/>
          <w:sz w:val="24"/>
          <w:szCs w:val="24"/>
          <w:lang w:val="en-GB"/>
        </w:rPr>
        <w:t xml:space="preserve">Has there been securitisation of aid to states during/after conflicts conducted by the four donors in the past (e.g. Afghanistan, Iraq, Libya, Syria), and if so, has it generated increased financing? </w:t>
      </w:r>
    </w:p>
    <w:p w:rsidR="004D23B0" w:rsidRPr="00B25D65" w:rsidRDefault="004D23B0" w:rsidP="00B25D65">
      <w:pPr>
        <w:pStyle w:val="Akapitzlist"/>
        <w:numPr>
          <w:ilvl w:val="0"/>
          <w:numId w:val="1"/>
        </w:numPr>
        <w:spacing w:after="0" w:line="240" w:lineRule="auto"/>
        <w:jc w:val="both"/>
        <w:rPr>
          <w:rFonts w:ascii="Times New Roman" w:hAnsi="Times New Roman" w:cs="Times New Roman"/>
          <w:sz w:val="24"/>
          <w:szCs w:val="24"/>
          <w:lang w:val="en-GB"/>
        </w:rPr>
      </w:pPr>
      <w:r w:rsidRPr="00B25D65">
        <w:rPr>
          <w:rFonts w:ascii="Times New Roman" w:hAnsi="Times New Roman" w:cs="Times New Roman"/>
          <w:sz w:val="24"/>
          <w:szCs w:val="24"/>
          <w:lang w:val="en-GB"/>
        </w:rPr>
        <w:t xml:space="preserve">How should CEE countries’ aid to Ukraine be managed in the future? </w:t>
      </w:r>
    </w:p>
    <w:p w:rsidR="004D23B0" w:rsidRPr="00B25D65" w:rsidRDefault="004D23B0" w:rsidP="00B25D65">
      <w:pPr>
        <w:pStyle w:val="Akapitzlist"/>
        <w:numPr>
          <w:ilvl w:val="0"/>
          <w:numId w:val="1"/>
        </w:numPr>
        <w:spacing w:after="0" w:line="240" w:lineRule="auto"/>
        <w:jc w:val="both"/>
        <w:rPr>
          <w:rFonts w:ascii="Times New Roman" w:hAnsi="Times New Roman" w:cs="Times New Roman"/>
          <w:sz w:val="24"/>
          <w:szCs w:val="24"/>
          <w:lang w:val="en-GB"/>
        </w:rPr>
      </w:pPr>
      <w:r w:rsidRPr="00B25D65">
        <w:rPr>
          <w:rFonts w:ascii="Times New Roman" w:hAnsi="Times New Roman" w:cs="Times New Roman"/>
          <w:sz w:val="24"/>
          <w:szCs w:val="24"/>
          <w:lang w:val="en-GB"/>
        </w:rPr>
        <w:t xml:space="preserve">Can </w:t>
      </w:r>
      <w:r w:rsidR="00E32024" w:rsidRPr="00B25D65">
        <w:rPr>
          <w:rFonts w:ascii="Times New Roman" w:hAnsi="Times New Roman" w:cs="Times New Roman"/>
          <w:sz w:val="24"/>
          <w:szCs w:val="24"/>
          <w:lang w:val="en-GB"/>
        </w:rPr>
        <w:t xml:space="preserve">the </w:t>
      </w:r>
      <w:r w:rsidRPr="00B25D65">
        <w:rPr>
          <w:rFonts w:ascii="Times New Roman" w:hAnsi="Times New Roman" w:cs="Times New Roman"/>
          <w:sz w:val="24"/>
          <w:szCs w:val="24"/>
          <w:lang w:val="en-GB"/>
        </w:rPr>
        <w:t xml:space="preserve">LRRD (Linking Relief, Rehabilitation and Development) concept be a </w:t>
      </w:r>
      <w:r w:rsidR="00E32024" w:rsidRPr="00B25D65">
        <w:rPr>
          <w:rFonts w:ascii="Times New Roman" w:hAnsi="Times New Roman" w:cs="Times New Roman"/>
          <w:sz w:val="24"/>
          <w:szCs w:val="24"/>
          <w:lang w:val="en-GB"/>
        </w:rPr>
        <w:t>valuable</w:t>
      </w:r>
      <w:r w:rsidRPr="00B25D65">
        <w:rPr>
          <w:rFonts w:ascii="Times New Roman" w:hAnsi="Times New Roman" w:cs="Times New Roman"/>
          <w:sz w:val="24"/>
          <w:szCs w:val="24"/>
          <w:lang w:val="en-GB"/>
        </w:rPr>
        <w:t xml:space="preserve"> framework for programming aid for Ukraine?</w:t>
      </w:r>
    </w:p>
    <w:p w:rsidR="00B25D65" w:rsidRPr="00B25D65" w:rsidRDefault="00B25D65" w:rsidP="00B25D65">
      <w:pPr>
        <w:spacing w:after="0" w:line="240" w:lineRule="auto"/>
        <w:jc w:val="both"/>
        <w:rPr>
          <w:rFonts w:ascii="Times New Roman" w:hAnsi="Times New Roman" w:cs="Times New Roman"/>
          <w:sz w:val="24"/>
          <w:szCs w:val="24"/>
          <w:lang w:val="en-GB"/>
        </w:rPr>
      </w:pPr>
    </w:p>
    <w:p w:rsidR="004D23B0" w:rsidRPr="00B25D65" w:rsidRDefault="004D23B0" w:rsidP="00B25D65">
      <w:pPr>
        <w:spacing w:after="0" w:line="240" w:lineRule="auto"/>
        <w:jc w:val="both"/>
        <w:rPr>
          <w:rFonts w:ascii="Times New Roman" w:hAnsi="Times New Roman" w:cs="Times New Roman"/>
          <w:sz w:val="24"/>
          <w:szCs w:val="24"/>
          <w:lang w:val="en-GB"/>
        </w:rPr>
      </w:pPr>
      <w:r w:rsidRPr="00B25D65">
        <w:rPr>
          <w:rFonts w:ascii="Times New Roman" w:hAnsi="Times New Roman" w:cs="Times New Roman"/>
          <w:sz w:val="24"/>
          <w:szCs w:val="24"/>
          <w:lang w:val="en-GB"/>
        </w:rPr>
        <w:t xml:space="preserve">The research is conducted as a part of the project “The Securitization of Development Cooperation. The Case of Selected Central and Eastern European Countries” financed by the National Science Centre (Poland) under the agreement 2021/41/HS5/01281. </w:t>
      </w:r>
    </w:p>
    <w:p w:rsidR="004D23B0" w:rsidRPr="00B25D65" w:rsidRDefault="004D23B0" w:rsidP="00B25D65">
      <w:pPr>
        <w:spacing w:after="0" w:line="276" w:lineRule="auto"/>
        <w:jc w:val="both"/>
        <w:rPr>
          <w:rFonts w:cstheme="minorHAnsi"/>
          <w:lang w:val="en-GB"/>
        </w:rPr>
      </w:pPr>
    </w:p>
    <w:p w:rsidR="00E32024" w:rsidRPr="00B25D65" w:rsidRDefault="00E32024" w:rsidP="00B25D65">
      <w:pPr>
        <w:spacing w:after="0" w:line="276" w:lineRule="auto"/>
        <w:jc w:val="both"/>
        <w:rPr>
          <w:rFonts w:ascii="Times New Roman" w:hAnsi="Times New Roman" w:cs="Times New Roman"/>
          <w:sz w:val="20"/>
          <w:lang w:val="en-GB"/>
        </w:rPr>
      </w:pPr>
      <w:r w:rsidRPr="00B25D65">
        <w:rPr>
          <w:rFonts w:ascii="Times New Roman" w:hAnsi="Times New Roman" w:cs="Times New Roman"/>
          <w:sz w:val="20"/>
          <w:lang w:val="en-GB"/>
        </w:rPr>
        <w:t xml:space="preserve">References: </w:t>
      </w:r>
    </w:p>
    <w:p w:rsidR="00E32024" w:rsidRPr="00B25D65" w:rsidRDefault="00E32024" w:rsidP="00B25D65">
      <w:pPr>
        <w:spacing w:after="0" w:line="240" w:lineRule="auto"/>
        <w:ind w:left="284" w:hanging="284"/>
        <w:jc w:val="both"/>
        <w:rPr>
          <w:rFonts w:ascii="Times New Roman" w:hAnsi="Times New Roman" w:cs="Times New Roman"/>
          <w:sz w:val="18"/>
          <w:szCs w:val="24"/>
          <w:lang w:val="en-GB"/>
        </w:rPr>
      </w:pPr>
      <w:r w:rsidRPr="00B25D65">
        <w:rPr>
          <w:rFonts w:ascii="Times New Roman" w:hAnsi="Times New Roman" w:cs="Times New Roman"/>
          <w:color w:val="000000"/>
          <w:sz w:val="18"/>
          <w:szCs w:val="24"/>
          <w:lang w:val="en-GB"/>
        </w:rPr>
        <w:t xml:space="preserve">Brown, S. and </w:t>
      </w:r>
      <w:proofErr w:type="spellStart"/>
      <w:r w:rsidRPr="00B25D65">
        <w:rPr>
          <w:rFonts w:ascii="Times New Roman" w:hAnsi="Times New Roman" w:cs="Times New Roman"/>
          <w:sz w:val="18"/>
          <w:szCs w:val="24"/>
          <w:lang w:val="en-GB"/>
        </w:rPr>
        <w:t>Grävingholt</w:t>
      </w:r>
      <w:proofErr w:type="spellEnd"/>
      <w:r w:rsidRPr="00B25D65">
        <w:rPr>
          <w:rFonts w:ascii="Times New Roman" w:hAnsi="Times New Roman" w:cs="Times New Roman"/>
          <w:sz w:val="18"/>
          <w:szCs w:val="24"/>
          <w:lang w:val="en-GB"/>
        </w:rPr>
        <w:t xml:space="preserve">, J. 2016. Security, Development and the Securitization of Foreign Aid. In: </w:t>
      </w:r>
      <w:r w:rsidRPr="00B25D65">
        <w:rPr>
          <w:rFonts w:ascii="Times New Roman" w:hAnsi="Times New Roman" w:cs="Times New Roman"/>
          <w:color w:val="000000"/>
          <w:sz w:val="18"/>
          <w:szCs w:val="24"/>
          <w:lang w:val="en-GB"/>
        </w:rPr>
        <w:t xml:space="preserve">Brown, S. and </w:t>
      </w:r>
      <w:proofErr w:type="spellStart"/>
      <w:r w:rsidRPr="00B25D65">
        <w:rPr>
          <w:rFonts w:ascii="Times New Roman" w:hAnsi="Times New Roman" w:cs="Times New Roman"/>
          <w:sz w:val="18"/>
          <w:szCs w:val="24"/>
          <w:lang w:val="en-GB"/>
        </w:rPr>
        <w:t>Grävingholt</w:t>
      </w:r>
      <w:proofErr w:type="spellEnd"/>
      <w:r w:rsidRPr="00B25D65">
        <w:rPr>
          <w:rFonts w:ascii="Times New Roman" w:hAnsi="Times New Roman" w:cs="Times New Roman"/>
          <w:sz w:val="18"/>
          <w:szCs w:val="24"/>
          <w:lang w:val="en-GB"/>
        </w:rPr>
        <w:t>, J</w:t>
      </w:r>
      <w:r w:rsidRPr="00B25D65">
        <w:rPr>
          <w:rFonts w:ascii="Times New Roman" w:hAnsi="Times New Roman" w:cs="Times New Roman"/>
          <w:sz w:val="18"/>
          <w:szCs w:val="24"/>
          <w:lang w:val="en-GB"/>
        </w:rPr>
        <w:t xml:space="preserve">. (eds.). The Securitization of Foreign Aid. London: Palgrave Macmillan. </w:t>
      </w:r>
    </w:p>
    <w:p w:rsidR="00E32024" w:rsidRPr="00B25D65" w:rsidRDefault="00E32024" w:rsidP="00B25D65">
      <w:pPr>
        <w:spacing w:after="0" w:line="240" w:lineRule="auto"/>
        <w:ind w:left="284" w:hanging="284"/>
        <w:jc w:val="both"/>
        <w:rPr>
          <w:rFonts w:ascii="Times New Roman" w:hAnsi="Times New Roman" w:cs="Times New Roman"/>
          <w:color w:val="000000"/>
          <w:sz w:val="18"/>
          <w:szCs w:val="24"/>
          <w:lang w:val="en-GB"/>
        </w:rPr>
      </w:pPr>
      <w:proofErr w:type="spellStart"/>
      <w:r w:rsidRPr="00B25D65">
        <w:rPr>
          <w:rFonts w:ascii="Times New Roman" w:hAnsi="Times New Roman" w:cs="Times New Roman"/>
          <w:sz w:val="18"/>
          <w:szCs w:val="24"/>
          <w:lang w:val="en-GB"/>
        </w:rPr>
        <w:t>Buzan</w:t>
      </w:r>
      <w:proofErr w:type="spellEnd"/>
      <w:r w:rsidRPr="00B25D65">
        <w:rPr>
          <w:rFonts w:ascii="Times New Roman" w:hAnsi="Times New Roman" w:cs="Times New Roman"/>
          <w:sz w:val="18"/>
          <w:szCs w:val="24"/>
          <w:lang w:val="en-GB"/>
        </w:rPr>
        <w:t xml:space="preserve">, B., </w:t>
      </w:r>
      <w:proofErr w:type="spellStart"/>
      <w:r w:rsidRPr="00B25D65">
        <w:rPr>
          <w:rFonts w:ascii="Times New Roman" w:hAnsi="Times New Roman" w:cs="Times New Roman"/>
          <w:color w:val="000000"/>
          <w:sz w:val="18"/>
          <w:szCs w:val="24"/>
          <w:lang w:val="en-GB"/>
        </w:rPr>
        <w:t>Waever</w:t>
      </w:r>
      <w:proofErr w:type="spellEnd"/>
      <w:r w:rsidRPr="00B25D65">
        <w:rPr>
          <w:rFonts w:ascii="Times New Roman" w:hAnsi="Times New Roman" w:cs="Times New Roman"/>
          <w:color w:val="000000"/>
          <w:sz w:val="18"/>
          <w:szCs w:val="24"/>
          <w:lang w:val="en-GB"/>
        </w:rPr>
        <w:t xml:space="preserve">, O. and de Wilde, J. 1998. Security: A New Framework for Analysis. London: Boulder. </w:t>
      </w:r>
    </w:p>
    <w:p w:rsidR="00E32024" w:rsidRPr="00B25D65" w:rsidRDefault="00E32024" w:rsidP="00B25D65">
      <w:pPr>
        <w:spacing w:after="0" w:line="240" w:lineRule="auto"/>
        <w:ind w:left="284" w:hanging="284"/>
        <w:jc w:val="both"/>
        <w:rPr>
          <w:rFonts w:ascii="Times New Roman" w:hAnsi="Times New Roman" w:cs="Times New Roman"/>
          <w:sz w:val="18"/>
          <w:szCs w:val="24"/>
          <w:lang w:val="en-GB"/>
        </w:rPr>
      </w:pPr>
      <w:r w:rsidRPr="00B25D65">
        <w:rPr>
          <w:rFonts w:ascii="Times New Roman" w:hAnsi="Times New Roman" w:cs="Times New Roman"/>
          <w:sz w:val="18"/>
          <w:szCs w:val="24"/>
          <w:lang w:val="en-GB"/>
        </w:rPr>
        <w:t xml:space="preserve">MFA (Ministry of Foreign Affairs of the Czech Republic). 2017. Development Cooperation Strategy of the Czech Republic 2018-2030. Prague. </w:t>
      </w:r>
    </w:p>
    <w:p w:rsidR="00E32024" w:rsidRPr="00B25D65" w:rsidRDefault="00E32024" w:rsidP="00B25D65">
      <w:pPr>
        <w:spacing w:after="0" w:line="240" w:lineRule="auto"/>
        <w:ind w:left="284" w:hanging="284"/>
        <w:jc w:val="both"/>
        <w:rPr>
          <w:rFonts w:ascii="Times New Roman" w:hAnsi="Times New Roman" w:cs="Times New Roman"/>
          <w:sz w:val="18"/>
          <w:szCs w:val="24"/>
          <w:lang w:val="en-GB"/>
        </w:rPr>
      </w:pPr>
      <w:r w:rsidRPr="00B25D65">
        <w:rPr>
          <w:rFonts w:ascii="Times New Roman" w:hAnsi="Times New Roman" w:cs="Times New Roman"/>
          <w:sz w:val="18"/>
          <w:szCs w:val="24"/>
          <w:lang w:val="en-GB"/>
        </w:rPr>
        <w:t>MFAT (Ministry of Foreign Affairs and Trade of Hungary). 2014. International Development Cooperation Strategy and Strategic Concept for International Humanitarian Aid of Hungary 2014-2020. Budapest.</w:t>
      </w:r>
    </w:p>
    <w:p w:rsidR="00E32024" w:rsidRPr="00B25D65" w:rsidRDefault="00E32024" w:rsidP="00B25D65">
      <w:pPr>
        <w:spacing w:after="0" w:line="240" w:lineRule="auto"/>
        <w:ind w:left="284" w:hanging="284"/>
        <w:jc w:val="both"/>
        <w:rPr>
          <w:rFonts w:ascii="Times New Roman" w:hAnsi="Times New Roman" w:cs="Times New Roman"/>
          <w:sz w:val="18"/>
          <w:szCs w:val="24"/>
          <w:lang w:val="en-GB"/>
        </w:rPr>
      </w:pPr>
      <w:r w:rsidRPr="00B25D65">
        <w:rPr>
          <w:rFonts w:ascii="Times New Roman" w:hAnsi="Times New Roman" w:cs="Times New Roman"/>
          <w:sz w:val="18"/>
          <w:szCs w:val="24"/>
          <w:lang w:val="en-GB"/>
        </w:rPr>
        <w:t xml:space="preserve">MFEA (Ministry of Foreign and European Affairs of the Slovak Republic). 2009. Medium Term Strategy for Official Development Assistance of the Slovak Republic for 2009-2013. Bratislava. </w:t>
      </w:r>
    </w:p>
    <w:p w:rsidR="00E32024" w:rsidRPr="00B25D65" w:rsidRDefault="00E32024" w:rsidP="00B25D65">
      <w:pPr>
        <w:spacing w:after="0" w:line="240" w:lineRule="auto"/>
        <w:ind w:left="284" w:hanging="284"/>
        <w:jc w:val="both"/>
        <w:rPr>
          <w:rFonts w:ascii="Times New Roman" w:hAnsi="Times New Roman" w:cs="Times New Roman"/>
          <w:sz w:val="18"/>
          <w:szCs w:val="24"/>
          <w:lang w:val="en-GB"/>
        </w:rPr>
      </w:pPr>
      <w:r w:rsidRPr="00B25D65">
        <w:rPr>
          <w:rFonts w:ascii="Times New Roman" w:hAnsi="Times New Roman" w:cs="Times New Roman"/>
          <w:sz w:val="18"/>
          <w:szCs w:val="24"/>
          <w:lang w:val="en-GB"/>
        </w:rPr>
        <w:t>MSZ (</w:t>
      </w:r>
      <w:proofErr w:type="spellStart"/>
      <w:r w:rsidRPr="00B25D65">
        <w:rPr>
          <w:rFonts w:ascii="Times New Roman" w:hAnsi="Times New Roman" w:cs="Times New Roman"/>
          <w:sz w:val="18"/>
          <w:szCs w:val="24"/>
          <w:lang w:val="en-GB"/>
        </w:rPr>
        <w:t>Ministerstwo</w:t>
      </w:r>
      <w:proofErr w:type="spellEnd"/>
      <w:r w:rsidRPr="00B25D65">
        <w:rPr>
          <w:rFonts w:ascii="Times New Roman" w:hAnsi="Times New Roman" w:cs="Times New Roman"/>
          <w:sz w:val="18"/>
          <w:szCs w:val="24"/>
          <w:lang w:val="en-GB"/>
        </w:rPr>
        <w:t xml:space="preserve"> </w:t>
      </w:r>
      <w:proofErr w:type="spellStart"/>
      <w:r w:rsidRPr="00B25D65">
        <w:rPr>
          <w:rFonts w:ascii="Times New Roman" w:hAnsi="Times New Roman" w:cs="Times New Roman"/>
          <w:sz w:val="18"/>
          <w:szCs w:val="24"/>
          <w:lang w:val="en-GB"/>
        </w:rPr>
        <w:t>Spraw</w:t>
      </w:r>
      <w:proofErr w:type="spellEnd"/>
      <w:r w:rsidRPr="00B25D65">
        <w:rPr>
          <w:rFonts w:ascii="Times New Roman" w:hAnsi="Times New Roman" w:cs="Times New Roman"/>
          <w:sz w:val="18"/>
          <w:szCs w:val="24"/>
          <w:lang w:val="en-GB"/>
        </w:rPr>
        <w:t xml:space="preserve"> </w:t>
      </w:r>
      <w:proofErr w:type="spellStart"/>
      <w:r w:rsidRPr="00B25D65">
        <w:rPr>
          <w:rFonts w:ascii="Times New Roman" w:hAnsi="Times New Roman" w:cs="Times New Roman"/>
          <w:sz w:val="18"/>
          <w:szCs w:val="24"/>
          <w:lang w:val="en-GB"/>
        </w:rPr>
        <w:t>Zagranicznych</w:t>
      </w:r>
      <w:proofErr w:type="spellEnd"/>
      <w:r w:rsidRPr="00B25D65">
        <w:rPr>
          <w:rFonts w:ascii="Times New Roman" w:hAnsi="Times New Roman" w:cs="Times New Roman"/>
          <w:sz w:val="18"/>
          <w:szCs w:val="24"/>
          <w:lang w:val="en-GB"/>
        </w:rPr>
        <w:t xml:space="preserve">). 2023. </w:t>
      </w:r>
      <w:proofErr w:type="spellStart"/>
      <w:r w:rsidRPr="00B25D65">
        <w:rPr>
          <w:rFonts w:ascii="Times New Roman" w:hAnsi="Times New Roman" w:cs="Times New Roman"/>
          <w:sz w:val="18"/>
          <w:szCs w:val="24"/>
          <w:lang w:val="en-GB"/>
        </w:rPr>
        <w:t>Polska</w:t>
      </w:r>
      <w:proofErr w:type="spellEnd"/>
      <w:r w:rsidRPr="00B25D65">
        <w:rPr>
          <w:rFonts w:ascii="Times New Roman" w:hAnsi="Times New Roman" w:cs="Times New Roman"/>
          <w:sz w:val="18"/>
          <w:szCs w:val="24"/>
          <w:lang w:val="en-GB"/>
        </w:rPr>
        <w:t xml:space="preserve"> </w:t>
      </w:r>
      <w:proofErr w:type="spellStart"/>
      <w:r w:rsidRPr="00B25D65">
        <w:rPr>
          <w:rFonts w:ascii="Times New Roman" w:hAnsi="Times New Roman" w:cs="Times New Roman"/>
          <w:sz w:val="18"/>
          <w:szCs w:val="24"/>
          <w:lang w:val="en-GB"/>
        </w:rPr>
        <w:t>Pomoc</w:t>
      </w:r>
      <w:proofErr w:type="spellEnd"/>
      <w:r w:rsidRPr="00B25D65">
        <w:rPr>
          <w:rFonts w:ascii="Times New Roman" w:hAnsi="Times New Roman" w:cs="Times New Roman"/>
          <w:sz w:val="18"/>
          <w:szCs w:val="24"/>
          <w:lang w:val="en-GB"/>
        </w:rPr>
        <w:t xml:space="preserve"> – </w:t>
      </w:r>
      <w:proofErr w:type="spellStart"/>
      <w:r w:rsidRPr="00B25D65">
        <w:rPr>
          <w:rFonts w:ascii="Times New Roman" w:hAnsi="Times New Roman" w:cs="Times New Roman"/>
          <w:sz w:val="18"/>
          <w:szCs w:val="24"/>
          <w:lang w:val="en-GB"/>
        </w:rPr>
        <w:t>Ukraina</w:t>
      </w:r>
      <w:proofErr w:type="spellEnd"/>
      <w:r w:rsidRPr="00B25D65">
        <w:rPr>
          <w:rFonts w:ascii="Times New Roman" w:hAnsi="Times New Roman" w:cs="Times New Roman"/>
          <w:sz w:val="18"/>
          <w:szCs w:val="24"/>
          <w:lang w:val="en-GB"/>
        </w:rPr>
        <w:t xml:space="preserve">. https://www.gov.pl/web/polskapomoc/ukraina3 [accessed 25 October 2023]. </w:t>
      </w:r>
    </w:p>
    <w:p w:rsidR="00E32024" w:rsidRPr="00B25D65" w:rsidRDefault="00E32024" w:rsidP="00B25D65">
      <w:pPr>
        <w:spacing w:after="0" w:line="240" w:lineRule="auto"/>
        <w:ind w:left="284" w:hanging="284"/>
        <w:jc w:val="both"/>
        <w:rPr>
          <w:rFonts w:ascii="Times New Roman" w:hAnsi="Times New Roman" w:cs="Times New Roman"/>
          <w:sz w:val="18"/>
          <w:szCs w:val="24"/>
          <w:lang w:val="en-GB"/>
        </w:rPr>
      </w:pPr>
      <w:r w:rsidRPr="00B25D65">
        <w:rPr>
          <w:rFonts w:ascii="Times New Roman" w:hAnsi="Times New Roman" w:cs="Times New Roman"/>
          <w:sz w:val="18"/>
          <w:szCs w:val="24"/>
          <w:lang w:val="en-GB"/>
        </w:rPr>
        <w:t>OECD. 2023a. History of DAC Lists of aid recipient countries. https://www.oecd.org/development/financing-sustainable-development/development-finance-standards/historyofdaclistsofaidrecipientcountries.htm [accessed 25 October 2023].</w:t>
      </w:r>
    </w:p>
    <w:p w:rsidR="00E32024" w:rsidRPr="00B25D65" w:rsidRDefault="00E32024" w:rsidP="00B25D65">
      <w:pPr>
        <w:spacing w:after="0" w:line="240" w:lineRule="auto"/>
        <w:ind w:left="284" w:hanging="284"/>
        <w:jc w:val="both"/>
        <w:rPr>
          <w:rFonts w:ascii="Times New Roman" w:hAnsi="Times New Roman" w:cs="Times New Roman"/>
          <w:sz w:val="18"/>
          <w:szCs w:val="24"/>
          <w:lang w:val="en-GB"/>
        </w:rPr>
      </w:pPr>
      <w:r w:rsidRPr="00B25D65">
        <w:rPr>
          <w:rFonts w:ascii="Times New Roman" w:hAnsi="Times New Roman" w:cs="Times New Roman"/>
          <w:sz w:val="18"/>
          <w:szCs w:val="24"/>
          <w:lang w:val="en-GB"/>
        </w:rPr>
        <w:t>OECD. 2023b. Official development assistance – definition and coverage. https://www.oecd.org/dac/financing-sustainable-development/development-finance-standards/officialdevelopmentassistancedefinitionandcoverage.htm [accessed 25 October 2023].</w:t>
      </w:r>
    </w:p>
    <w:p w:rsidR="00E32024" w:rsidRPr="00B25D65" w:rsidRDefault="00E32024" w:rsidP="00B25D65">
      <w:pPr>
        <w:spacing w:after="0" w:line="240" w:lineRule="auto"/>
        <w:ind w:left="284" w:hanging="284"/>
        <w:jc w:val="both"/>
        <w:rPr>
          <w:rFonts w:ascii="Times New Roman" w:hAnsi="Times New Roman" w:cs="Times New Roman"/>
          <w:sz w:val="18"/>
          <w:szCs w:val="24"/>
          <w:lang w:val="en-GB"/>
        </w:rPr>
      </w:pPr>
      <w:r w:rsidRPr="00B25D65">
        <w:rPr>
          <w:rFonts w:ascii="Times New Roman" w:hAnsi="Times New Roman" w:cs="Times New Roman"/>
          <w:sz w:val="18"/>
          <w:szCs w:val="24"/>
          <w:lang w:val="en-GB"/>
        </w:rPr>
        <w:t>OECD. 2023c. Creditor Reporting System (CRS). https://stats.oecd.org/Index.aspx?DataSetCode=CRS1 [accessed 25 October 2023].</w:t>
      </w:r>
    </w:p>
    <w:p w:rsidR="00E32024" w:rsidRPr="00B25D65" w:rsidRDefault="00E32024" w:rsidP="00B25D65">
      <w:pPr>
        <w:spacing w:after="0" w:line="240" w:lineRule="auto"/>
        <w:ind w:left="284" w:hanging="284"/>
        <w:jc w:val="both"/>
        <w:rPr>
          <w:rFonts w:ascii="Times New Roman" w:hAnsi="Times New Roman" w:cs="Times New Roman"/>
          <w:sz w:val="18"/>
          <w:szCs w:val="24"/>
          <w:lang w:val="en-GB"/>
        </w:rPr>
      </w:pPr>
      <w:r w:rsidRPr="00B25D65">
        <w:rPr>
          <w:rFonts w:ascii="Times New Roman" w:hAnsi="Times New Roman" w:cs="Times New Roman"/>
          <w:sz w:val="18"/>
          <w:szCs w:val="24"/>
          <w:lang w:val="en-GB"/>
        </w:rPr>
        <w:t>OECD. 2023d. Aid (ODA) disbursements to countries and regions [DAC2a]. https://stats.oecd.org/Index.aspx?DataSetCode=TABLE2A [accessed 25 October 2023].</w:t>
      </w:r>
    </w:p>
    <w:sectPr w:rsidR="00E32024" w:rsidRPr="00B25D65" w:rsidSect="004D23B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B07" w:rsidRDefault="00CC7B07" w:rsidP="004D23B0">
      <w:pPr>
        <w:spacing w:after="0" w:line="240" w:lineRule="auto"/>
      </w:pPr>
      <w:r>
        <w:separator/>
      </w:r>
    </w:p>
  </w:endnote>
  <w:endnote w:type="continuationSeparator" w:id="0">
    <w:p w:rsidR="00CC7B07" w:rsidRDefault="00CC7B07" w:rsidP="004D2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B07" w:rsidRDefault="00CC7B07" w:rsidP="004D23B0">
      <w:pPr>
        <w:spacing w:after="0" w:line="240" w:lineRule="auto"/>
      </w:pPr>
      <w:r>
        <w:separator/>
      </w:r>
    </w:p>
  </w:footnote>
  <w:footnote w:type="continuationSeparator" w:id="0">
    <w:p w:rsidR="00CC7B07" w:rsidRDefault="00CC7B07" w:rsidP="004D23B0">
      <w:pPr>
        <w:spacing w:after="0" w:line="240" w:lineRule="auto"/>
      </w:pPr>
      <w:r>
        <w:continuationSeparator/>
      </w:r>
    </w:p>
  </w:footnote>
  <w:footnote w:id="1">
    <w:p w:rsidR="00700A8C" w:rsidRPr="00700A8C" w:rsidRDefault="00700A8C" w:rsidP="00700A8C">
      <w:pPr>
        <w:spacing w:after="0" w:line="240" w:lineRule="auto"/>
        <w:jc w:val="both"/>
        <w:rPr>
          <w:rFonts w:ascii="Times New Roman" w:hAnsi="Times New Roman" w:cs="Times New Roman"/>
          <w:sz w:val="20"/>
          <w:lang w:val="en-GB"/>
        </w:rPr>
      </w:pPr>
      <w:r w:rsidRPr="00700A8C">
        <w:rPr>
          <w:rStyle w:val="Odwoanieprzypisudolnego"/>
          <w:rFonts w:ascii="Times New Roman" w:hAnsi="Times New Roman" w:cs="Times New Roman"/>
          <w:sz w:val="20"/>
        </w:rPr>
        <w:footnoteRef/>
      </w:r>
      <w:r w:rsidRPr="00700A8C">
        <w:rPr>
          <w:rFonts w:ascii="Times New Roman" w:hAnsi="Times New Roman" w:cs="Times New Roman"/>
          <w:sz w:val="20"/>
          <w:lang w:val="en-US"/>
        </w:rPr>
        <w:t xml:space="preserve"> </w:t>
      </w:r>
      <w:r w:rsidRPr="00700A8C">
        <w:rPr>
          <w:rFonts w:ascii="Times New Roman" w:hAnsi="Times New Roman" w:cs="Times New Roman"/>
          <w:sz w:val="20"/>
          <w:lang w:val="en-GB"/>
        </w:rPr>
        <w:t>Official Develop</w:t>
      </w:r>
      <w:r w:rsidRPr="00700A8C">
        <w:rPr>
          <w:rFonts w:ascii="Times New Roman" w:hAnsi="Times New Roman" w:cs="Times New Roman"/>
          <w:sz w:val="20"/>
          <w:lang w:val="en-GB"/>
        </w:rPr>
        <w:t>ment Assistance</w:t>
      </w:r>
      <w:r w:rsidRPr="00700A8C">
        <w:rPr>
          <w:rFonts w:ascii="Times New Roman" w:hAnsi="Times New Roman" w:cs="Times New Roman"/>
          <w:sz w:val="20"/>
          <w:lang w:val="en-GB"/>
        </w:rPr>
        <w:t xml:space="preserve"> – according to the OECD definition – covers flows to eligible recipient countries, the purpose of which is to support the socio-economic development of these countries and which are concessional in nature. As a rule, it does not include military </w:t>
      </w:r>
      <w:r w:rsidRPr="00700A8C">
        <w:rPr>
          <w:rFonts w:ascii="Times New Roman" w:hAnsi="Times New Roman" w:cs="Times New Roman"/>
          <w:sz w:val="20"/>
          <w:lang w:val="en-GB"/>
        </w:rPr>
        <w:t>assistance, e.g. arms supplies (OECD, 2023</w:t>
      </w:r>
      <w:r w:rsidR="001E6CA0">
        <w:rPr>
          <w:rFonts w:ascii="Times New Roman" w:hAnsi="Times New Roman" w:cs="Times New Roman"/>
          <w:sz w:val="20"/>
          <w:lang w:val="en-GB"/>
        </w:rPr>
        <w:t>b</w:t>
      </w:r>
      <w:r w:rsidRPr="00700A8C">
        <w:rPr>
          <w:rFonts w:ascii="Times New Roman" w:hAnsi="Times New Roman" w:cs="Times New Roman"/>
          <w:sz w:val="20"/>
          <w:lang w:val="en-GB"/>
        </w:rPr>
        <w:t>).</w:t>
      </w:r>
    </w:p>
    <w:p w:rsidR="00700A8C" w:rsidRPr="00700A8C" w:rsidRDefault="00700A8C">
      <w:pPr>
        <w:pStyle w:val="Tekstprzypisudolnego"/>
        <w:rPr>
          <w:lang w:val="en-GB"/>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E34B0"/>
    <w:multiLevelType w:val="hybridMultilevel"/>
    <w:tmpl w:val="0F687848"/>
    <w:lvl w:ilvl="0" w:tplc="DD1AABA0">
      <w:start w:val="1"/>
      <w:numFmt w:val="bullet"/>
      <w:lvlText w:val="•"/>
      <w:lvlJc w:val="left"/>
      <w:pPr>
        <w:tabs>
          <w:tab w:val="num" w:pos="720"/>
        </w:tabs>
        <w:ind w:left="720" w:hanging="360"/>
      </w:pPr>
      <w:rPr>
        <w:rFonts w:ascii="Arial" w:hAnsi="Arial" w:hint="default"/>
      </w:rPr>
    </w:lvl>
    <w:lvl w:ilvl="1" w:tplc="95A8F152" w:tentative="1">
      <w:start w:val="1"/>
      <w:numFmt w:val="bullet"/>
      <w:lvlText w:val="•"/>
      <w:lvlJc w:val="left"/>
      <w:pPr>
        <w:tabs>
          <w:tab w:val="num" w:pos="1440"/>
        </w:tabs>
        <w:ind w:left="1440" w:hanging="360"/>
      </w:pPr>
      <w:rPr>
        <w:rFonts w:ascii="Arial" w:hAnsi="Arial" w:hint="default"/>
      </w:rPr>
    </w:lvl>
    <w:lvl w:ilvl="2" w:tplc="714CCAA8" w:tentative="1">
      <w:start w:val="1"/>
      <w:numFmt w:val="bullet"/>
      <w:lvlText w:val="•"/>
      <w:lvlJc w:val="left"/>
      <w:pPr>
        <w:tabs>
          <w:tab w:val="num" w:pos="2160"/>
        </w:tabs>
        <w:ind w:left="2160" w:hanging="360"/>
      </w:pPr>
      <w:rPr>
        <w:rFonts w:ascii="Arial" w:hAnsi="Arial" w:hint="default"/>
      </w:rPr>
    </w:lvl>
    <w:lvl w:ilvl="3" w:tplc="16A898B4" w:tentative="1">
      <w:start w:val="1"/>
      <w:numFmt w:val="bullet"/>
      <w:lvlText w:val="•"/>
      <w:lvlJc w:val="left"/>
      <w:pPr>
        <w:tabs>
          <w:tab w:val="num" w:pos="2880"/>
        </w:tabs>
        <w:ind w:left="2880" w:hanging="360"/>
      </w:pPr>
      <w:rPr>
        <w:rFonts w:ascii="Arial" w:hAnsi="Arial" w:hint="default"/>
      </w:rPr>
    </w:lvl>
    <w:lvl w:ilvl="4" w:tplc="D8C45E9E" w:tentative="1">
      <w:start w:val="1"/>
      <w:numFmt w:val="bullet"/>
      <w:lvlText w:val="•"/>
      <w:lvlJc w:val="left"/>
      <w:pPr>
        <w:tabs>
          <w:tab w:val="num" w:pos="3600"/>
        </w:tabs>
        <w:ind w:left="3600" w:hanging="360"/>
      </w:pPr>
      <w:rPr>
        <w:rFonts w:ascii="Arial" w:hAnsi="Arial" w:hint="default"/>
      </w:rPr>
    </w:lvl>
    <w:lvl w:ilvl="5" w:tplc="65C00370" w:tentative="1">
      <w:start w:val="1"/>
      <w:numFmt w:val="bullet"/>
      <w:lvlText w:val="•"/>
      <w:lvlJc w:val="left"/>
      <w:pPr>
        <w:tabs>
          <w:tab w:val="num" w:pos="4320"/>
        </w:tabs>
        <w:ind w:left="4320" w:hanging="360"/>
      </w:pPr>
      <w:rPr>
        <w:rFonts w:ascii="Arial" w:hAnsi="Arial" w:hint="default"/>
      </w:rPr>
    </w:lvl>
    <w:lvl w:ilvl="6" w:tplc="3196AFF2" w:tentative="1">
      <w:start w:val="1"/>
      <w:numFmt w:val="bullet"/>
      <w:lvlText w:val="•"/>
      <w:lvlJc w:val="left"/>
      <w:pPr>
        <w:tabs>
          <w:tab w:val="num" w:pos="5040"/>
        </w:tabs>
        <w:ind w:left="5040" w:hanging="360"/>
      </w:pPr>
      <w:rPr>
        <w:rFonts w:ascii="Arial" w:hAnsi="Arial" w:hint="default"/>
      </w:rPr>
    </w:lvl>
    <w:lvl w:ilvl="7" w:tplc="778EFD0E" w:tentative="1">
      <w:start w:val="1"/>
      <w:numFmt w:val="bullet"/>
      <w:lvlText w:val="•"/>
      <w:lvlJc w:val="left"/>
      <w:pPr>
        <w:tabs>
          <w:tab w:val="num" w:pos="5760"/>
        </w:tabs>
        <w:ind w:left="5760" w:hanging="360"/>
      </w:pPr>
      <w:rPr>
        <w:rFonts w:ascii="Arial" w:hAnsi="Arial" w:hint="default"/>
      </w:rPr>
    </w:lvl>
    <w:lvl w:ilvl="8" w:tplc="88DE382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1EB4C76"/>
    <w:multiLevelType w:val="hybridMultilevel"/>
    <w:tmpl w:val="22F47174"/>
    <w:lvl w:ilvl="0" w:tplc="C98EEF1A">
      <w:start w:val="1"/>
      <w:numFmt w:val="bullet"/>
      <w:lvlText w:val="•"/>
      <w:lvlJc w:val="left"/>
      <w:pPr>
        <w:tabs>
          <w:tab w:val="num" w:pos="720"/>
        </w:tabs>
        <w:ind w:left="720" w:hanging="360"/>
      </w:pPr>
      <w:rPr>
        <w:rFonts w:ascii="Arial" w:hAnsi="Arial" w:hint="default"/>
      </w:rPr>
    </w:lvl>
    <w:lvl w:ilvl="1" w:tplc="74A08114" w:tentative="1">
      <w:start w:val="1"/>
      <w:numFmt w:val="bullet"/>
      <w:lvlText w:val="•"/>
      <w:lvlJc w:val="left"/>
      <w:pPr>
        <w:tabs>
          <w:tab w:val="num" w:pos="1440"/>
        </w:tabs>
        <w:ind w:left="1440" w:hanging="360"/>
      </w:pPr>
      <w:rPr>
        <w:rFonts w:ascii="Arial" w:hAnsi="Arial" w:hint="default"/>
      </w:rPr>
    </w:lvl>
    <w:lvl w:ilvl="2" w:tplc="5178C55E" w:tentative="1">
      <w:start w:val="1"/>
      <w:numFmt w:val="bullet"/>
      <w:lvlText w:val="•"/>
      <w:lvlJc w:val="left"/>
      <w:pPr>
        <w:tabs>
          <w:tab w:val="num" w:pos="2160"/>
        </w:tabs>
        <w:ind w:left="2160" w:hanging="360"/>
      </w:pPr>
      <w:rPr>
        <w:rFonts w:ascii="Arial" w:hAnsi="Arial" w:hint="default"/>
      </w:rPr>
    </w:lvl>
    <w:lvl w:ilvl="3" w:tplc="63C86B8A" w:tentative="1">
      <w:start w:val="1"/>
      <w:numFmt w:val="bullet"/>
      <w:lvlText w:val="•"/>
      <w:lvlJc w:val="left"/>
      <w:pPr>
        <w:tabs>
          <w:tab w:val="num" w:pos="2880"/>
        </w:tabs>
        <w:ind w:left="2880" w:hanging="360"/>
      </w:pPr>
      <w:rPr>
        <w:rFonts w:ascii="Arial" w:hAnsi="Arial" w:hint="default"/>
      </w:rPr>
    </w:lvl>
    <w:lvl w:ilvl="4" w:tplc="1226BE6C" w:tentative="1">
      <w:start w:val="1"/>
      <w:numFmt w:val="bullet"/>
      <w:lvlText w:val="•"/>
      <w:lvlJc w:val="left"/>
      <w:pPr>
        <w:tabs>
          <w:tab w:val="num" w:pos="3600"/>
        </w:tabs>
        <w:ind w:left="3600" w:hanging="360"/>
      </w:pPr>
      <w:rPr>
        <w:rFonts w:ascii="Arial" w:hAnsi="Arial" w:hint="default"/>
      </w:rPr>
    </w:lvl>
    <w:lvl w:ilvl="5" w:tplc="B71E7D7A" w:tentative="1">
      <w:start w:val="1"/>
      <w:numFmt w:val="bullet"/>
      <w:lvlText w:val="•"/>
      <w:lvlJc w:val="left"/>
      <w:pPr>
        <w:tabs>
          <w:tab w:val="num" w:pos="4320"/>
        </w:tabs>
        <w:ind w:left="4320" w:hanging="360"/>
      </w:pPr>
      <w:rPr>
        <w:rFonts w:ascii="Arial" w:hAnsi="Arial" w:hint="default"/>
      </w:rPr>
    </w:lvl>
    <w:lvl w:ilvl="6" w:tplc="27E4C2EE" w:tentative="1">
      <w:start w:val="1"/>
      <w:numFmt w:val="bullet"/>
      <w:lvlText w:val="•"/>
      <w:lvlJc w:val="left"/>
      <w:pPr>
        <w:tabs>
          <w:tab w:val="num" w:pos="5040"/>
        </w:tabs>
        <w:ind w:left="5040" w:hanging="360"/>
      </w:pPr>
      <w:rPr>
        <w:rFonts w:ascii="Arial" w:hAnsi="Arial" w:hint="default"/>
      </w:rPr>
    </w:lvl>
    <w:lvl w:ilvl="7" w:tplc="C1241BC6" w:tentative="1">
      <w:start w:val="1"/>
      <w:numFmt w:val="bullet"/>
      <w:lvlText w:val="•"/>
      <w:lvlJc w:val="left"/>
      <w:pPr>
        <w:tabs>
          <w:tab w:val="num" w:pos="5760"/>
        </w:tabs>
        <w:ind w:left="5760" w:hanging="360"/>
      </w:pPr>
      <w:rPr>
        <w:rFonts w:ascii="Arial" w:hAnsi="Arial" w:hint="default"/>
      </w:rPr>
    </w:lvl>
    <w:lvl w:ilvl="8" w:tplc="E51CF58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23E3430"/>
    <w:multiLevelType w:val="hybridMultilevel"/>
    <w:tmpl w:val="5D3064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96B08BB"/>
    <w:multiLevelType w:val="hybridMultilevel"/>
    <w:tmpl w:val="CCB49298"/>
    <w:lvl w:ilvl="0" w:tplc="356AA55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BAD6410"/>
    <w:multiLevelType w:val="hybridMultilevel"/>
    <w:tmpl w:val="E690BB1E"/>
    <w:lvl w:ilvl="0" w:tplc="1C346B18">
      <w:start w:val="1"/>
      <w:numFmt w:val="bullet"/>
      <w:lvlText w:val="•"/>
      <w:lvlJc w:val="left"/>
      <w:pPr>
        <w:tabs>
          <w:tab w:val="num" w:pos="720"/>
        </w:tabs>
        <w:ind w:left="720" w:hanging="360"/>
      </w:pPr>
      <w:rPr>
        <w:rFonts w:ascii="Arial" w:hAnsi="Arial" w:hint="default"/>
      </w:rPr>
    </w:lvl>
    <w:lvl w:ilvl="1" w:tplc="FE826952" w:tentative="1">
      <w:start w:val="1"/>
      <w:numFmt w:val="bullet"/>
      <w:lvlText w:val="•"/>
      <w:lvlJc w:val="left"/>
      <w:pPr>
        <w:tabs>
          <w:tab w:val="num" w:pos="1440"/>
        </w:tabs>
        <w:ind w:left="1440" w:hanging="360"/>
      </w:pPr>
      <w:rPr>
        <w:rFonts w:ascii="Arial" w:hAnsi="Arial" w:hint="default"/>
      </w:rPr>
    </w:lvl>
    <w:lvl w:ilvl="2" w:tplc="DC08DB3C" w:tentative="1">
      <w:start w:val="1"/>
      <w:numFmt w:val="bullet"/>
      <w:lvlText w:val="•"/>
      <w:lvlJc w:val="left"/>
      <w:pPr>
        <w:tabs>
          <w:tab w:val="num" w:pos="2160"/>
        </w:tabs>
        <w:ind w:left="2160" w:hanging="360"/>
      </w:pPr>
      <w:rPr>
        <w:rFonts w:ascii="Arial" w:hAnsi="Arial" w:hint="default"/>
      </w:rPr>
    </w:lvl>
    <w:lvl w:ilvl="3" w:tplc="11067B90" w:tentative="1">
      <w:start w:val="1"/>
      <w:numFmt w:val="bullet"/>
      <w:lvlText w:val="•"/>
      <w:lvlJc w:val="left"/>
      <w:pPr>
        <w:tabs>
          <w:tab w:val="num" w:pos="2880"/>
        </w:tabs>
        <w:ind w:left="2880" w:hanging="360"/>
      </w:pPr>
      <w:rPr>
        <w:rFonts w:ascii="Arial" w:hAnsi="Arial" w:hint="default"/>
      </w:rPr>
    </w:lvl>
    <w:lvl w:ilvl="4" w:tplc="A1FCABE8" w:tentative="1">
      <w:start w:val="1"/>
      <w:numFmt w:val="bullet"/>
      <w:lvlText w:val="•"/>
      <w:lvlJc w:val="left"/>
      <w:pPr>
        <w:tabs>
          <w:tab w:val="num" w:pos="3600"/>
        </w:tabs>
        <w:ind w:left="3600" w:hanging="360"/>
      </w:pPr>
      <w:rPr>
        <w:rFonts w:ascii="Arial" w:hAnsi="Arial" w:hint="default"/>
      </w:rPr>
    </w:lvl>
    <w:lvl w:ilvl="5" w:tplc="8850FB9C" w:tentative="1">
      <w:start w:val="1"/>
      <w:numFmt w:val="bullet"/>
      <w:lvlText w:val="•"/>
      <w:lvlJc w:val="left"/>
      <w:pPr>
        <w:tabs>
          <w:tab w:val="num" w:pos="4320"/>
        </w:tabs>
        <w:ind w:left="4320" w:hanging="360"/>
      </w:pPr>
      <w:rPr>
        <w:rFonts w:ascii="Arial" w:hAnsi="Arial" w:hint="default"/>
      </w:rPr>
    </w:lvl>
    <w:lvl w:ilvl="6" w:tplc="585AF016" w:tentative="1">
      <w:start w:val="1"/>
      <w:numFmt w:val="bullet"/>
      <w:lvlText w:val="•"/>
      <w:lvlJc w:val="left"/>
      <w:pPr>
        <w:tabs>
          <w:tab w:val="num" w:pos="5040"/>
        </w:tabs>
        <w:ind w:left="5040" w:hanging="360"/>
      </w:pPr>
      <w:rPr>
        <w:rFonts w:ascii="Arial" w:hAnsi="Arial" w:hint="default"/>
      </w:rPr>
    </w:lvl>
    <w:lvl w:ilvl="7" w:tplc="296EC33C" w:tentative="1">
      <w:start w:val="1"/>
      <w:numFmt w:val="bullet"/>
      <w:lvlText w:val="•"/>
      <w:lvlJc w:val="left"/>
      <w:pPr>
        <w:tabs>
          <w:tab w:val="num" w:pos="5760"/>
        </w:tabs>
        <w:ind w:left="5760" w:hanging="360"/>
      </w:pPr>
      <w:rPr>
        <w:rFonts w:ascii="Arial" w:hAnsi="Arial" w:hint="default"/>
      </w:rPr>
    </w:lvl>
    <w:lvl w:ilvl="8" w:tplc="645EDF5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3B0"/>
    <w:rsid w:val="001E6CA0"/>
    <w:rsid w:val="004622EF"/>
    <w:rsid w:val="004A5634"/>
    <w:rsid w:val="004D23B0"/>
    <w:rsid w:val="006A3D5E"/>
    <w:rsid w:val="00700A8C"/>
    <w:rsid w:val="00A7782D"/>
    <w:rsid w:val="00B25D65"/>
    <w:rsid w:val="00CC7B07"/>
    <w:rsid w:val="00D5264E"/>
    <w:rsid w:val="00E32024"/>
    <w:rsid w:val="00E3718D"/>
    <w:rsid w:val="00F636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A3678"/>
  <w15:chartTrackingRefBased/>
  <w15:docId w15:val="{9A74D5F1-4DA3-4310-97F0-A6F8A5829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D23B0"/>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4D23B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4D23B0"/>
    <w:rPr>
      <w:sz w:val="20"/>
      <w:szCs w:val="20"/>
    </w:rPr>
  </w:style>
  <w:style w:type="character" w:styleId="Odwoanieprzypisudolnego">
    <w:name w:val="footnote reference"/>
    <w:aliases w:val="FZ,(Voetnootmarkering)"/>
    <w:basedOn w:val="Domylnaczcionkaakapitu"/>
    <w:uiPriority w:val="99"/>
    <w:semiHidden/>
    <w:unhideWhenUsed/>
    <w:rsid w:val="004D23B0"/>
    <w:rPr>
      <w:vertAlign w:val="superscript"/>
    </w:rPr>
  </w:style>
  <w:style w:type="paragraph" w:styleId="Akapitzlist">
    <w:name w:val="List Paragraph"/>
    <w:basedOn w:val="Normalny"/>
    <w:link w:val="AkapitzlistZnak"/>
    <w:uiPriority w:val="34"/>
    <w:qFormat/>
    <w:rsid w:val="004D23B0"/>
    <w:pPr>
      <w:ind w:left="720"/>
      <w:contextualSpacing/>
    </w:pPr>
  </w:style>
  <w:style w:type="character" w:customStyle="1" w:styleId="AkapitzlistZnak">
    <w:name w:val="Akapit z listą Znak"/>
    <w:basedOn w:val="Domylnaczcionkaakapitu"/>
    <w:link w:val="Akapitzlist"/>
    <w:uiPriority w:val="34"/>
    <w:rsid w:val="004D23B0"/>
  </w:style>
  <w:style w:type="character" w:styleId="Hipercze">
    <w:name w:val="Hyperlink"/>
    <w:basedOn w:val="Domylnaczcionkaakapitu"/>
    <w:uiPriority w:val="99"/>
    <w:unhideWhenUsed/>
    <w:rsid w:val="004D23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188617">
      <w:bodyDiv w:val="1"/>
      <w:marLeft w:val="0"/>
      <w:marRight w:val="0"/>
      <w:marTop w:val="0"/>
      <w:marBottom w:val="0"/>
      <w:divBdr>
        <w:top w:val="none" w:sz="0" w:space="0" w:color="auto"/>
        <w:left w:val="none" w:sz="0" w:space="0" w:color="auto"/>
        <w:bottom w:val="none" w:sz="0" w:space="0" w:color="auto"/>
        <w:right w:val="none" w:sz="0" w:space="0" w:color="auto"/>
      </w:divBdr>
      <w:divsChild>
        <w:div w:id="833296790">
          <w:marLeft w:val="274"/>
          <w:marRight w:val="0"/>
          <w:marTop w:val="200"/>
          <w:marBottom w:val="0"/>
          <w:divBdr>
            <w:top w:val="none" w:sz="0" w:space="0" w:color="auto"/>
            <w:left w:val="none" w:sz="0" w:space="0" w:color="auto"/>
            <w:bottom w:val="none" w:sz="0" w:space="0" w:color="auto"/>
            <w:right w:val="none" w:sz="0" w:space="0" w:color="auto"/>
          </w:divBdr>
        </w:div>
      </w:divsChild>
    </w:div>
    <w:div w:id="501510540">
      <w:bodyDiv w:val="1"/>
      <w:marLeft w:val="0"/>
      <w:marRight w:val="0"/>
      <w:marTop w:val="0"/>
      <w:marBottom w:val="0"/>
      <w:divBdr>
        <w:top w:val="none" w:sz="0" w:space="0" w:color="auto"/>
        <w:left w:val="none" w:sz="0" w:space="0" w:color="auto"/>
        <w:bottom w:val="none" w:sz="0" w:space="0" w:color="auto"/>
        <w:right w:val="none" w:sz="0" w:space="0" w:color="auto"/>
      </w:divBdr>
      <w:divsChild>
        <w:div w:id="1907494627">
          <w:marLeft w:val="274"/>
          <w:marRight w:val="0"/>
          <w:marTop w:val="200"/>
          <w:marBottom w:val="0"/>
          <w:divBdr>
            <w:top w:val="none" w:sz="0" w:space="0" w:color="auto"/>
            <w:left w:val="none" w:sz="0" w:space="0" w:color="auto"/>
            <w:bottom w:val="none" w:sz="0" w:space="0" w:color="auto"/>
            <w:right w:val="none" w:sz="0" w:space="0" w:color="auto"/>
          </w:divBdr>
        </w:div>
      </w:divsChild>
    </w:div>
    <w:div w:id="1287200975">
      <w:bodyDiv w:val="1"/>
      <w:marLeft w:val="0"/>
      <w:marRight w:val="0"/>
      <w:marTop w:val="0"/>
      <w:marBottom w:val="0"/>
      <w:divBdr>
        <w:top w:val="none" w:sz="0" w:space="0" w:color="auto"/>
        <w:left w:val="none" w:sz="0" w:space="0" w:color="auto"/>
        <w:bottom w:val="none" w:sz="0" w:space="0" w:color="auto"/>
        <w:right w:val="none" w:sz="0" w:space="0" w:color="auto"/>
      </w:divBdr>
      <w:divsChild>
        <w:div w:id="1914243912">
          <w:marLeft w:val="274"/>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1BC15-6693-473A-B098-806FD53F1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1184</Words>
  <Characters>7108</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m_szy</dc:creator>
  <cp:keywords/>
  <dc:description/>
  <cp:lastModifiedBy>m_szy</cp:lastModifiedBy>
  <cp:revision>1</cp:revision>
  <dcterms:created xsi:type="dcterms:W3CDTF">2023-10-25T12:01:00Z</dcterms:created>
  <dcterms:modified xsi:type="dcterms:W3CDTF">2023-10-25T14:22:00Z</dcterms:modified>
</cp:coreProperties>
</file>