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7EF" w:rsidRPr="00866B89" w:rsidRDefault="002567EF" w:rsidP="00C13DE7">
      <w:pPr>
        <w:spacing w:line="240" w:lineRule="auto"/>
        <w:ind w:firstLine="737"/>
        <w:jc w:val="center"/>
        <w:rPr>
          <w:rFonts w:ascii="Times New Roman" w:hAnsi="Times New Roman" w:cs="Times New Roman"/>
          <w:b/>
          <w:sz w:val="28"/>
          <w:szCs w:val="28"/>
          <w:lang w:val="uk-UA"/>
        </w:rPr>
      </w:pPr>
      <w:r w:rsidRPr="00866B89">
        <w:rPr>
          <w:rFonts w:ascii="Times New Roman" w:hAnsi="Times New Roman" w:cs="Times New Roman"/>
          <w:b/>
          <w:sz w:val="28"/>
          <w:szCs w:val="28"/>
          <w:lang w:val="uk-UA"/>
        </w:rPr>
        <w:t>СТРАТЕГІЯ РЕСУРСОЗБЕРЕЖЕННЯ</w:t>
      </w:r>
    </w:p>
    <w:p w:rsidR="002567EF" w:rsidRPr="00866B89" w:rsidRDefault="002567EF" w:rsidP="00C13DE7">
      <w:pPr>
        <w:spacing w:line="240" w:lineRule="auto"/>
        <w:ind w:firstLine="737"/>
        <w:jc w:val="center"/>
        <w:rPr>
          <w:rFonts w:ascii="Times New Roman" w:hAnsi="Times New Roman" w:cs="Times New Roman"/>
          <w:b/>
          <w:sz w:val="28"/>
          <w:szCs w:val="28"/>
          <w:lang w:val="uk-UA"/>
        </w:rPr>
      </w:pPr>
      <w:r w:rsidRPr="00866B89">
        <w:rPr>
          <w:rFonts w:ascii="Times New Roman" w:hAnsi="Times New Roman" w:cs="Times New Roman"/>
          <w:b/>
          <w:sz w:val="28"/>
          <w:szCs w:val="28"/>
          <w:lang w:val="uk-UA"/>
        </w:rPr>
        <w:t>СУЧАСНИХ АГРОТЕХНОЛОГІЙ</w:t>
      </w:r>
    </w:p>
    <w:p w:rsidR="006C0ED8" w:rsidRPr="00866B89" w:rsidRDefault="006C0ED8" w:rsidP="00C13DE7">
      <w:pPr>
        <w:spacing w:line="240" w:lineRule="auto"/>
        <w:ind w:firstLine="737"/>
        <w:jc w:val="center"/>
        <w:rPr>
          <w:rFonts w:ascii="Times New Roman" w:hAnsi="Times New Roman" w:cs="Times New Roman"/>
          <w:b/>
          <w:sz w:val="28"/>
          <w:szCs w:val="28"/>
        </w:rPr>
      </w:pPr>
      <w:r w:rsidRPr="00866B89">
        <w:rPr>
          <w:rFonts w:ascii="Times New Roman" w:hAnsi="Times New Roman" w:cs="Times New Roman"/>
          <w:b/>
          <w:sz w:val="28"/>
          <w:szCs w:val="28"/>
        </w:rPr>
        <w:t>Постол Ю.О.</w:t>
      </w:r>
      <w:r w:rsidR="002567EF" w:rsidRPr="00866B89">
        <w:rPr>
          <w:rFonts w:ascii="Times New Roman" w:hAnsi="Times New Roman" w:cs="Times New Roman"/>
          <w:b/>
          <w:sz w:val="28"/>
          <w:szCs w:val="28"/>
          <w:lang w:val="uk-UA"/>
        </w:rPr>
        <w:t>,</w:t>
      </w:r>
      <w:r w:rsidRPr="00866B89">
        <w:rPr>
          <w:rFonts w:ascii="Times New Roman" w:hAnsi="Times New Roman" w:cs="Times New Roman"/>
          <w:b/>
          <w:sz w:val="28"/>
          <w:szCs w:val="28"/>
        </w:rPr>
        <w:t xml:space="preserve"> к.т.н.</w:t>
      </w:r>
    </w:p>
    <w:p w:rsidR="002567EF" w:rsidRPr="00866B89" w:rsidRDefault="002567EF" w:rsidP="00C13DE7">
      <w:pPr>
        <w:spacing w:line="240" w:lineRule="auto"/>
        <w:ind w:firstLine="737"/>
        <w:jc w:val="center"/>
        <w:rPr>
          <w:rFonts w:ascii="Times New Roman" w:hAnsi="Times New Roman" w:cs="Times New Roman"/>
          <w:b/>
          <w:sz w:val="28"/>
          <w:szCs w:val="28"/>
          <w:lang w:val="uk-UA"/>
        </w:rPr>
      </w:pPr>
      <w:proofErr w:type="spellStart"/>
      <w:r w:rsidRPr="00866B89">
        <w:rPr>
          <w:rFonts w:ascii="Times New Roman" w:hAnsi="Times New Roman" w:cs="Times New Roman"/>
          <w:b/>
          <w:sz w:val="28"/>
          <w:szCs w:val="28"/>
          <w:lang w:val="uk-UA"/>
        </w:rPr>
        <w:t>Гулевський</w:t>
      </w:r>
      <w:proofErr w:type="spellEnd"/>
      <w:r w:rsidRPr="00866B89">
        <w:rPr>
          <w:rFonts w:ascii="Times New Roman" w:hAnsi="Times New Roman" w:cs="Times New Roman"/>
          <w:b/>
          <w:sz w:val="28"/>
          <w:szCs w:val="28"/>
          <w:lang w:val="uk-UA"/>
        </w:rPr>
        <w:t xml:space="preserve"> В.Б., </w:t>
      </w:r>
      <w:proofErr w:type="spellStart"/>
      <w:r w:rsidRPr="00866B89">
        <w:rPr>
          <w:rFonts w:ascii="Times New Roman" w:hAnsi="Times New Roman" w:cs="Times New Roman"/>
          <w:b/>
          <w:sz w:val="28"/>
          <w:szCs w:val="28"/>
          <w:lang w:val="uk-UA"/>
        </w:rPr>
        <w:t>к.т.н</w:t>
      </w:r>
      <w:proofErr w:type="spellEnd"/>
      <w:r w:rsidRPr="00866B89">
        <w:rPr>
          <w:rFonts w:ascii="Times New Roman" w:hAnsi="Times New Roman" w:cs="Times New Roman"/>
          <w:b/>
          <w:sz w:val="28"/>
          <w:szCs w:val="28"/>
          <w:lang w:val="uk-UA"/>
        </w:rPr>
        <w:t>.</w:t>
      </w:r>
    </w:p>
    <w:p w:rsidR="006C0ED8" w:rsidRPr="004D2944" w:rsidRDefault="006C0ED8" w:rsidP="00C13DE7">
      <w:pPr>
        <w:spacing w:line="240" w:lineRule="auto"/>
        <w:ind w:firstLine="737"/>
        <w:jc w:val="center"/>
        <w:rPr>
          <w:rFonts w:ascii="Times New Roman" w:hAnsi="Times New Roman" w:cs="Times New Roman"/>
          <w:i/>
          <w:sz w:val="28"/>
          <w:szCs w:val="28"/>
          <w:lang w:val="uk-UA"/>
        </w:rPr>
      </w:pPr>
      <w:r w:rsidRPr="004D2944">
        <w:rPr>
          <w:rFonts w:ascii="Times New Roman" w:hAnsi="Times New Roman" w:cs="Times New Roman"/>
          <w:i/>
          <w:sz w:val="28"/>
          <w:szCs w:val="28"/>
          <w:lang w:val="uk-UA"/>
        </w:rPr>
        <w:t>Таврійський державний агротехнологічний університет імені Дмитра Моторного</w:t>
      </w:r>
    </w:p>
    <w:p w:rsidR="00AF0770" w:rsidRPr="004D2944" w:rsidRDefault="00AF0770" w:rsidP="00C13DE7">
      <w:pPr>
        <w:spacing w:line="240" w:lineRule="auto"/>
        <w:ind w:firstLine="737"/>
        <w:jc w:val="center"/>
        <w:rPr>
          <w:rFonts w:ascii="Times New Roman" w:hAnsi="Times New Roman" w:cs="Times New Roman"/>
          <w:i/>
          <w:sz w:val="28"/>
          <w:szCs w:val="28"/>
          <w:lang w:val="uk-UA"/>
        </w:rPr>
      </w:pPr>
      <w:r w:rsidRPr="004D2944">
        <w:rPr>
          <w:rFonts w:ascii="Times New Roman" w:hAnsi="Times New Roman" w:cs="Times New Roman"/>
          <w:i/>
          <w:sz w:val="28"/>
          <w:szCs w:val="28"/>
          <w:lang w:val="uk-UA"/>
        </w:rPr>
        <w:t>e-</w:t>
      </w:r>
      <w:proofErr w:type="spellStart"/>
      <w:r w:rsidRPr="004D2944">
        <w:rPr>
          <w:rFonts w:ascii="Times New Roman" w:hAnsi="Times New Roman" w:cs="Times New Roman"/>
          <w:i/>
          <w:sz w:val="28"/>
          <w:szCs w:val="28"/>
          <w:lang w:val="uk-UA"/>
        </w:rPr>
        <w:t>mail</w:t>
      </w:r>
      <w:proofErr w:type="spellEnd"/>
      <w:r w:rsidRPr="004D2944">
        <w:rPr>
          <w:rFonts w:ascii="Times New Roman" w:hAnsi="Times New Roman" w:cs="Times New Roman"/>
          <w:i/>
          <w:sz w:val="28"/>
          <w:szCs w:val="28"/>
          <w:lang w:val="uk-UA"/>
        </w:rPr>
        <w:t xml:space="preserve">: </w:t>
      </w:r>
      <w:hyperlink r:id="rId6" w:history="1">
        <w:r w:rsidRPr="004D2944">
          <w:rPr>
            <w:rStyle w:val="a6"/>
            <w:rFonts w:ascii="Times New Roman" w:hAnsi="Times New Roman" w:cs="Times New Roman"/>
            <w:i/>
            <w:sz w:val="28"/>
            <w:szCs w:val="28"/>
            <w:lang w:val="uk-UA"/>
          </w:rPr>
          <w:t>yuliapostol111@gmail.com</w:t>
        </w:r>
      </w:hyperlink>
    </w:p>
    <w:p w:rsidR="00AF0770" w:rsidRPr="004D2944" w:rsidRDefault="004D2944" w:rsidP="00C13DE7">
      <w:pPr>
        <w:spacing w:line="240" w:lineRule="auto"/>
        <w:ind w:firstLine="737"/>
        <w:jc w:val="center"/>
        <w:rPr>
          <w:rFonts w:ascii="Times New Roman" w:hAnsi="Times New Roman" w:cs="Times New Roman"/>
          <w:i/>
          <w:sz w:val="28"/>
          <w:szCs w:val="28"/>
          <w:lang w:val="uk-UA"/>
        </w:rPr>
      </w:pPr>
      <w:hyperlink r:id="rId7" w:history="1">
        <w:r w:rsidR="00AF0770" w:rsidRPr="004D2944">
          <w:rPr>
            <w:rStyle w:val="a6"/>
            <w:rFonts w:ascii="Times New Roman" w:hAnsi="Times New Roman" w:cs="Times New Roman"/>
            <w:i/>
            <w:sz w:val="28"/>
            <w:szCs w:val="28"/>
            <w:lang w:val="uk-UA"/>
          </w:rPr>
          <w:t>vadym.hulevskyi@tsatu.edu.ua</w:t>
        </w:r>
      </w:hyperlink>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Зазвичай виділяють дві категорії виробничих ресурсів: матеріальні та людські, а вони, у свою чергу, поділяються на матеріальні ресурси, сировинні матеріали, капітал та на працю, включаючи підприємницьку здатність, відповідно.</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 xml:space="preserve">Але враховуючи те, що в останні десятиліття збільшуються темпи зростання економік усіх країн, все інтенсивніше використовуються природні ресурси. Це призводить до глобальних проблем – до вичерпання природних ресурсів та екологічного колапсу у майбутньому. Про що б'ють на сполох екологи. Гостро ставиться питання ресурсозбереження, зокрема й у сучасних </w:t>
      </w:r>
      <w:proofErr w:type="spellStart"/>
      <w:r w:rsidRPr="00866B89">
        <w:rPr>
          <w:sz w:val="28"/>
          <w:szCs w:val="28"/>
          <w:lang w:val="uk-UA"/>
        </w:rPr>
        <w:t>агротехнологіях</w:t>
      </w:r>
      <w:proofErr w:type="spellEnd"/>
      <w:r w:rsidR="002F44D5">
        <w:rPr>
          <w:sz w:val="28"/>
          <w:szCs w:val="28"/>
          <w:lang w:val="uk-UA"/>
        </w:rPr>
        <w:t xml:space="preserve"> </w:t>
      </w:r>
      <w:r w:rsidR="002F44D5" w:rsidRPr="004D2944">
        <w:rPr>
          <w:sz w:val="28"/>
          <w:szCs w:val="28"/>
        </w:rPr>
        <w:t>[1,2]</w:t>
      </w:r>
      <w:r w:rsidRPr="00866B89">
        <w:rPr>
          <w:sz w:val="28"/>
          <w:szCs w:val="28"/>
          <w:lang w:val="uk-UA"/>
        </w:rPr>
        <w:t>.</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Основні напрямки в галузі ресурсозбереження:</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1) у розрізі управлінської діяльності:</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 впровадження технологій, спрямованих на раціоналізацію</w:t>
      </w:r>
      <w:r>
        <w:rPr>
          <w:sz w:val="28"/>
          <w:szCs w:val="28"/>
          <w:lang w:val="uk-UA"/>
        </w:rPr>
        <w:t xml:space="preserve"> </w:t>
      </w:r>
      <w:r w:rsidRPr="00866B89">
        <w:rPr>
          <w:sz w:val="28"/>
          <w:szCs w:val="28"/>
          <w:lang w:val="uk-UA"/>
        </w:rPr>
        <w:t>використання ресурсів;</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 використання управління, спрямованого на ресурсозбереження.</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2) у розрізі господарської діяльності:</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 підвищення ефективності використання ресурсів;</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 підвищення ефективності виробництва.</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3) у розрізі технологічних рішень:</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 скорочення обсягів споживання ресурсів;</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 скорочення втрат ресурсів.</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Великий інтерес викликають дослідження щодо ресурсозбереження у розрізі підвищенн</w:t>
      </w:r>
      <w:bookmarkStart w:id="0" w:name="_GoBack"/>
      <w:bookmarkEnd w:id="0"/>
      <w:r w:rsidRPr="00866B89">
        <w:rPr>
          <w:sz w:val="28"/>
          <w:szCs w:val="28"/>
          <w:lang w:val="uk-UA"/>
        </w:rPr>
        <w:t xml:space="preserve">я ефективності використання сільськогосподарських технологій, що пов'язано із серйозними галузевими особливостями. Так, характер використання ресурсів багато в чому залежить від їх запасів та здатності до відновлення. На відміну від енергетики, металургії та багатьох інших галузей промисловості сільське господарство використовує переважно поновлювані ресурси. Багато геодинамічні процеси можуть призвести до зниження родючості ґрунтів та скорочення площі землі, придатної для сільськогосподарського використання, забруднення ґрунту, </w:t>
      </w:r>
      <w:proofErr w:type="spellStart"/>
      <w:r w:rsidRPr="00866B89">
        <w:rPr>
          <w:sz w:val="28"/>
          <w:szCs w:val="28"/>
          <w:lang w:val="uk-UA"/>
        </w:rPr>
        <w:t>вододжерел</w:t>
      </w:r>
      <w:proofErr w:type="spellEnd"/>
      <w:r w:rsidRPr="00866B89">
        <w:rPr>
          <w:sz w:val="28"/>
          <w:szCs w:val="28"/>
          <w:lang w:val="uk-UA"/>
        </w:rPr>
        <w:t xml:space="preserve"> та самої сільськогосподарської продукції.</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Але, враховуючи поновлюваний характер агроресурсів, можна припустити, що зниження їхньої якості та зменшення кількості не є неминучими і що при раціональному використанні процеси деградації можуть бути припинені.</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Щоб досягти цього, необхідно розробити та впровадити відповідні ресурсозберігаючі технології.</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lastRenderedPageBreak/>
        <w:t>Охарактеризуємо значення екологізації сільського господарства у тих глобальних природоохоронних проблем.</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Позиції різних наукових напрямів можна згрупувати у три концептуальні стратегії.</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1. Стратегія «стійкого сільського господарства» (</w:t>
      </w:r>
      <w:proofErr w:type="spellStart"/>
      <w:r w:rsidRPr="00866B89">
        <w:rPr>
          <w:sz w:val="28"/>
          <w:szCs w:val="28"/>
          <w:lang w:val="uk-UA"/>
        </w:rPr>
        <w:t>sustainable</w:t>
      </w:r>
      <w:proofErr w:type="spellEnd"/>
      <w:r w:rsidRPr="00866B89">
        <w:rPr>
          <w:sz w:val="28"/>
          <w:szCs w:val="28"/>
          <w:lang w:val="uk-UA"/>
        </w:rPr>
        <w:t xml:space="preserve"> </w:t>
      </w:r>
      <w:proofErr w:type="spellStart"/>
      <w:r w:rsidRPr="00866B89">
        <w:rPr>
          <w:sz w:val="28"/>
          <w:szCs w:val="28"/>
          <w:lang w:val="uk-UA"/>
        </w:rPr>
        <w:t>agriculture</w:t>
      </w:r>
      <w:proofErr w:type="spellEnd"/>
      <w:r w:rsidRPr="00866B89">
        <w:rPr>
          <w:sz w:val="28"/>
          <w:szCs w:val="28"/>
          <w:lang w:val="uk-UA"/>
        </w:rPr>
        <w:t>), що передбачає збереження та відтворення аграрної ресурсної бази, оптимальне (менш інтенсивне) застосування агрохімікатів, екологічно більш збалансовану структуру використання землі. Однак практично уникнення мінеральних добрив, ГМО та отрутохімікатів означає закономірне зниження продуктивності сільськогосподарських процесів та зростання імпорту, що, незважаючи на об'єктивність, не користується громадською підтримкою.</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2. Стратегія «альтернативного сільського господарства». Вона заснована на біодинамічній та органічній рівновазі, виникла в Америці та Європі як протидія необґрунтованої інтенсифікації. Протидія розглядається не як спосіб регулювання технологічних процесів у сільському господарстві, бо як спосіб обмеження корпорацій у виборі форм інтенсифікації отримання прибутку.</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3. «Компромісна стратегія». На думку її прихильників, рівень інтенсифікації сільського господарства необхідно диференціювати та адаптувати до місцевих природних та економічних умов. При цьому екологічні та економічні витрати технічного прогресу аграрного сектора можна значно зменшити за допомогою застосування досягнень генетики, біохімії рослин та тварин, інших напрямів природознавства, яких зовсім необов'язково відмовлятися. Диференційований підхід виходить із переконання, що індустріалізація та інтенсифікація сільського господарства відповідають перспективам подолання кризи та подальшого поступального розвитку українського агропромислового комплексу.</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 xml:space="preserve">В результаті розгляду сучасних підходів до ресурсозбереження, в умовах зростання інтенсивності споживання природних ресурсів, виявлено основну, на думку багатьох фахівців, проблему, пов'язану з відсутністю системного підходу до оцінки економічної та екологічної ефективності ресурсоспоживання. </w:t>
      </w:r>
    </w:p>
    <w:p w:rsidR="00866B89" w:rsidRPr="00866B89" w:rsidRDefault="00866B89" w:rsidP="00866B89">
      <w:pPr>
        <w:pStyle w:val="a4"/>
        <w:tabs>
          <w:tab w:val="left" w:pos="9639"/>
        </w:tabs>
        <w:ind w:left="0" w:firstLine="737"/>
        <w:rPr>
          <w:sz w:val="28"/>
          <w:szCs w:val="28"/>
          <w:lang w:val="uk-UA"/>
        </w:rPr>
      </w:pPr>
      <w:r w:rsidRPr="00866B89">
        <w:rPr>
          <w:sz w:val="28"/>
          <w:szCs w:val="28"/>
          <w:lang w:val="uk-UA"/>
        </w:rPr>
        <w:t>Це особливо важливо в умовах «кризи суспільства споживання», коли терміни «зелений», «екологічний», «ресурсозберігаючий» якщо і підкріплюються технологіями, то тільки з позиції безпеки для споживача, а в більшості випадків просто є складовою маркетингового слогану, що дає можливість вигравати в конкурентній боротьбі за гаманці споживачів, дозволяючи при цьому ще й підвищувати маржинальність продажів. Однак це також у більшості випадків не має нічого спільного з ресурсозбереженням у вихідному трактуванні.</w:t>
      </w:r>
    </w:p>
    <w:p w:rsidR="006C0ED8" w:rsidRPr="00866B89" w:rsidRDefault="00866B89" w:rsidP="00866B89">
      <w:pPr>
        <w:pStyle w:val="a4"/>
        <w:tabs>
          <w:tab w:val="left" w:pos="9639"/>
        </w:tabs>
        <w:ind w:left="0" w:firstLine="737"/>
        <w:rPr>
          <w:sz w:val="28"/>
          <w:szCs w:val="28"/>
          <w:lang w:val="uk-UA"/>
        </w:rPr>
      </w:pPr>
      <w:r w:rsidRPr="00866B89">
        <w:rPr>
          <w:sz w:val="28"/>
          <w:szCs w:val="28"/>
          <w:lang w:val="uk-UA"/>
        </w:rPr>
        <w:t>Тому, з «природної» позиції технологія використання має не лише давати в результаті безпечний продукт, а й бути безпечною для навколишнього світу.</w:t>
      </w:r>
    </w:p>
    <w:p w:rsidR="002F44D5" w:rsidRPr="00473356" w:rsidRDefault="002F44D5" w:rsidP="002F44D5">
      <w:pPr>
        <w:pStyle w:val="a4"/>
        <w:tabs>
          <w:tab w:val="left" w:pos="1843"/>
          <w:tab w:val="left" w:pos="9639"/>
        </w:tabs>
        <w:ind w:left="1061" w:right="3" w:firstLine="0"/>
        <w:jc w:val="center"/>
        <w:rPr>
          <w:b/>
          <w:sz w:val="28"/>
          <w:szCs w:val="28"/>
          <w:lang w:val="uk-UA"/>
        </w:rPr>
      </w:pPr>
      <w:r w:rsidRPr="00473356">
        <w:rPr>
          <w:b/>
          <w:sz w:val="28"/>
          <w:szCs w:val="28"/>
          <w:lang w:val="uk-UA"/>
        </w:rPr>
        <w:t>Література</w:t>
      </w:r>
    </w:p>
    <w:p w:rsidR="002F44D5" w:rsidRPr="00473356" w:rsidRDefault="002F44D5" w:rsidP="002F44D5">
      <w:pPr>
        <w:pStyle w:val="a4"/>
        <w:numPr>
          <w:ilvl w:val="0"/>
          <w:numId w:val="9"/>
        </w:numPr>
        <w:tabs>
          <w:tab w:val="left" w:pos="1843"/>
          <w:tab w:val="left" w:pos="9639"/>
        </w:tabs>
        <w:ind w:right="3"/>
        <w:rPr>
          <w:sz w:val="28"/>
          <w:szCs w:val="28"/>
          <w:lang w:val="uk-UA"/>
        </w:rPr>
      </w:pPr>
      <w:r w:rsidRPr="00473356">
        <w:rPr>
          <w:sz w:val="28"/>
          <w:szCs w:val="28"/>
          <w:lang w:val="uk-UA"/>
        </w:rPr>
        <w:t xml:space="preserve">Лобас М.Г., </w:t>
      </w:r>
      <w:proofErr w:type="spellStart"/>
      <w:r w:rsidRPr="00473356">
        <w:rPr>
          <w:sz w:val="28"/>
          <w:szCs w:val="28"/>
          <w:lang w:val="uk-UA"/>
        </w:rPr>
        <w:t>Россоха</w:t>
      </w:r>
      <w:proofErr w:type="spellEnd"/>
      <w:r w:rsidRPr="00473356">
        <w:rPr>
          <w:sz w:val="28"/>
          <w:szCs w:val="28"/>
          <w:lang w:val="uk-UA"/>
        </w:rPr>
        <w:t xml:space="preserve"> В.В., Соколов Д.О. Управління інноваційно-технологічним розвитком агросфери. Київ : ННЦ ІАЕ, 2016. 416 с.</w:t>
      </w:r>
    </w:p>
    <w:p w:rsidR="00866B89" w:rsidRPr="002F44D5" w:rsidRDefault="002F44D5" w:rsidP="002F44D5">
      <w:pPr>
        <w:pStyle w:val="a4"/>
        <w:numPr>
          <w:ilvl w:val="0"/>
          <w:numId w:val="9"/>
        </w:numPr>
        <w:tabs>
          <w:tab w:val="left" w:pos="1843"/>
          <w:tab w:val="left" w:pos="9639"/>
        </w:tabs>
        <w:ind w:right="3"/>
        <w:rPr>
          <w:sz w:val="28"/>
          <w:szCs w:val="28"/>
          <w:lang w:val="uk-UA"/>
        </w:rPr>
      </w:pPr>
      <w:r w:rsidRPr="00473356">
        <w:rPr>
          <w:sz w:val="28"/>
          <w:szCs w:val="28"/>
          <w:lang w:val="uk-UA"/>
        </w:rPr>
        <w:t xml:space="preserve">Technologies. CEOS </w:t>
      </w:r>
      <w:proofErr w:type="spellStart"/>
      <w:r w:rsidRPr="00473356">
        <w:rPr>
          <w:sz w:val="28"/>
          <w:szCs w:val="28"/>
          <w:lang w:val="uk-UA"/>
        </w:rPr>
        <w:t>Data</w:t>
      </w:r>
      <w:proofErr w:type="spellEnd"/>
      <w:r w:rsidRPr="00473356">
        <w:rPr>
          <w:sz w:val="28"/>
          <w:szCs w:val="28"/>
          <w:lang w:val="uk-UA"/>
        </w:rPr>
        <w:t>. веб-сайт. URL: https://www.ceosdata.com/technologies (дата звернення: 24.09.2023).</w:t>
      </w:r>
    </w:p>
    <w:sectPr w:rsidR="00866B89" w:rsidRPr="002F44D5" w:rsidSect="006920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05E5"/>
    <w:multiLevelType w:val="hybridMultilevel"/>
    <w:tmpl w:val="EF4A914E"/>
    <w:lvl w:ilvl="0" w:tplc="2000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20D2233"/>
    <w:multiLevelType w:val="hybridMultilevel"/>
    <w:tmpl w:val="6B181164"/>
    <w:lvl w:ilvl="0" w:tplc="20000011">
      <w:start w:val="1"/>
      <w:numFmt w:val="decimal"/>
      <w:lvlText w:val="%1)"/>
      <w:lvlJc w:val="left"/>
      <w:pPr>
        <w:ind w:left="1350" w:hanging="360"/>
      </w:p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2" w15:restartNumberingAfterBreak="0">
    <w:nsid w:val="13304BC0"/>
    <w:multiLevelType w:val="hybridMultilevel"/>
    <w:tmpl w:val="B21AFF7A"/>
    <w:lvl w:ilvl="0" w:tplc="2000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4B1095E"/>
    <w:multiLevelType w:val="hybridMultilevel"/>
    <w:tmpl w:val="4868133E"/>
    <w:lvl w:ilvl="0" w:tplc="F536C4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E1429EE"/>
    <w:multiLevelType w:val="hybridMultilevel"/>
    <w:tmpl w:val="B950B152"/>
    <w:lvl w:ilvl="0" w:tplc="20000011">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5" w15:restartNumberingAfterBreak="0">
    <w:nsid w:val="40B75D83"/>
    <w:multiLevelType w:val="hybridMultilevel"/>
    <w:tmpl w:val="60D4F8DC"/>
    <w:lvl w:ilvl="0" w:tplc="2000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6" w15:restartNumberingAfterBreak="0">
    <w:nsid w:val="5CB54C7F"/>
    <w:multiLevelType w:val="hybridMultilevel"/>
    <w:tmpl w:val="A02EAB72"/>
    <w:lvl w:ilvl="0" w:tplc="9C46CE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69C214F9"/>
    <w:multiLevelType w:val="hybridMultilevel"/>
    <w:tmpl w:val="A12E0698"/>
    <w:lvl w:ilvl="0" w:tplc="0419000F">
      <w:start w:val="1"/>
      <w:numFmt w:val="decimal"/>
      <w:lvlText w:val="%1."/>
      <w:lvlJc w:val="left"/>
      <w:pPr>
        <w:ind w:left="1061" w:hanging="360"/>
      </w:p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8" w15:restartNumberingAfterBreak="0">
    <w:nsid w:val="6F51553C"/>
    <w:multiLevelType w:val="hybridMultilevel"/>
    <w:tmpl w:val="2F7276BA"/>
    <w:lvl w:ilvl="0" w:tplc="2000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0"/>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59"/>
    <w:rsid w:val="00056E3E"/>
    <w:rsid w:val="00141F0C"/>
    <w:rsid w:val="0015124B"/>
    <w:rsid w:val="00252AF8"/>
    <w:rsid w:val="002567EF"/>
    <w:rsid w:val="0026434B"/>
    <w:rsid w:val="002D3B4D"/>
    <w:rsid w:val="002F44D5"/>
    <w:rsid w:val="003D4163"/>
    <w:rsid w:val="004D2944"/>
    <w:rsid w:val="005A050D"/>
    <w:rsid w:val="00631312"/>
    <w:rsid w:val="006920AB"/>
    <w:rsid w:val="006C0ED8"/>
    <w:rsid w:val="006C7B69"/>
    <w:rsid w:val="00701021"/>
    <w:rsid w:val="007B6CB2"/>
    <w:rsid w:val="00866B89"/>
    <w:rsid w:val="00894C28"/>
    <w:rsid w:val="00904757"/>
    <w:rsid w:val="00A83F6D"/>
    <w:rsid w:val="00AF0770"/>
    <w:rsid w:val="00B5160A"/>
    <w:rsid w:val="00B835B8"/>
    <w:rsid w:val="00C13DE7"/>
    <w:rsid w:val="00CA6DF5"/>
    <w:rsid w:val="00CD0C48"/>
    <w:rsid w:val="00DA0559"/>
    <w:rsid w:val="00E840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30130-3B91-4818-B6E2-6230E478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5B8"/>
    <w:pPr>
      <w:spacing w:after="0" w:line="259" w:lineRule="auto"/>
    </w:pPr>
    <w:rPr>
      <w:rFonts w:ascii="Calibri" w:eastAsia="Calibri"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5B8"/>
    <w:pPr>
      <w:ind w:left="720"/>
      <w:contextualSpacing/>
    </w:pPr>
  </w:style>
  <w:style w:type="paragraph" w:styleId="HTML">
    <w:name w:val="HTML Preformatted"/>
    <w:basedOn w:val="a"/>
    <w:link w:val="HTML0"/>
    <w:uiPriority w:val="99"/>
    <w:semiHidden/>
    <w:unhideWhenUsed/>
    <w:rsid w:val="00CA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CA6DF5"/>
    <w:rPr>
      <w:rFonts w:ascii="Courier New" w:eastAsia="Times New Roman" w:hAnsi="Courier New" w:cs="Courier New"/>
      <w:sz w:val="20"/>
      <w:szCs w:val="20"/>
      <w:lang w:eastAsia="uk-UA"/>
    </w:rPr>
  </w:style>
  <w:style w:type="character" w:customStyle="1" w:styleId="y2iqfc">
    <w:name w:val="y2iqfc"/>
    <w:basedOn w:val="a0"/>
    <w:rsid w:val="00CA6DF5"/>
  </w:style>
  <w:style w:type="paragraph" w:styleId="a4">
    <w:name w:val="Body Text"/>
    <w:basedOn w:val="a"/>
    <w:link w:val="a5"/>
    <w:uiPriority w:val="1"/>
    <w:qFormat/>
    <w:rsid w:val="006C0ED8"/>
    <w:pPr>
      <w:widowControl w:val="0"/>
      <w:autoSpaceDE w:val="0"/>
      <w:autoSpaceDN w:val="0"/>
      <w:spacing w:line="240" w:lineRule="auto"/>
      <w:ind w:left="460" w:firstLine="341"/>
      <w:jc w:val="both"/>
    </w:pPr>
    <w:rPr>
      <w:rFonts w:ascii="Times New Roman" w:eastAsia="Times New Roman" w:hAnsi="Times New Roman" w:cs="Times New Roman"/>
      <w:sz w:val="20"/>
      <w:szCs w:val="20"/>
      <w:lang w:eastAsia="en-US"/>
    </w:rPr>
  </w:style>
  <w:style w:type="character" w:customStyle="1" w:styleId="a5">
    <w:name w:val="Основной текст Знак"/>
    <w:basedOn w:val="a0"/>
    <w:link w:val="a4"/>
    <w:uiPriority w:val="1"/>
    <w:rsid w:val="006C0ED8"/>
    <w:rPr>
      <w:rFonts w:ascii="Times New Roman" w:eastAsia="Times New Roman" w:hAnsi="Times New Roman" w:cs="Times New Roman"/>
      <w:sz w:val="20"/>
      <w:szCs w:val="20"/>
      <w:lang w:val="ru-RU"/>
    </w:rPr>
  </w:style>
  <w:style w:type="character" w:styleId="a6">
    <w:name w:val="Hyperlink"/>
    <w:basedOn w:val="a0"/>
    <w:uiPriority w:val="99"/>
    <w:unhideWhenUsed/>
    <w:rsid w:val="00AF0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84056">
      <w:bodyDiv w:val="1"/>
      <w:marLeft w:val="0"/>
      <w:marRight w:val="0"/>
      <w:marTop w:val="0"/>
      <w:marBottom w:val="0"/>
      <w:divBdr>
        <w:top w:val="none" w:sz="0" w:space="0" w:color="auto"/>
        <w:left w:val="none" w:sz="0" w:space="0" w:color="auto"/>
        <w:bottom w:val="none" w:sz="0" w:space="0" w:color="auto"/>
        <w:right w:val="none" w:sz="0" w:space="0" w:color="auto"/>
      </w:divBdr>
    </w:div>
    <w:div w:id="608780189">
      <w:bodyDiv w:val="1"/>
      <w:marLeft w:val="0"/>
      <w:marRight w:val="0"/>
      <w:marTop w:val="0"/>
      <w:marBottom w:val="0"/>
      <w:divBdr>
        <w:top w:val="none" w:sz="0" w:space="0" w:color="auto"/>
        <w:left w:val="none" w:sz="0" w:space="0" w:color="auto"/>
        <w:bottom w:val="none" w:sz="0" w:space="0" w:color="auto"/>
        <w:right w:val="none" w:sz="0" w:space="0" w:color="auto"/>
      </w:divBdr>
    </w:div>
    <w:div w:id="621769116">
      <w:bodyDiv w:val="1"/>
      <w:marLeft w:val="0"/>
      <w:marRight w:val="0"/>
      <w:marTop w:val="0"/>
      <w:marBottom w:val="0"/>
      <w:divBdr>
        <w:top w:val="none" w:sz="0" w:space="0" w:color="auto"/>
        <w:left w:val="none" w:sz="0" w:space="0" w:color="auto"/>
        <w:bottom w:val="none" w:sz="0" w:space="0" w:color="auto"/>
        <w:right w:val="none" w:sz="0" w:space="0" w:color="auto"/>
      </w:divBdr>
    </w:div>
    <w:div w:id="676932216">
      <w:bodyDiv w:val="1"/>
      <w:marLeft w:val="0"/>
      <w:marRight w:val="0"/>
      <w:marTop w:val="0"/>
      <w:marBottom w:val="0"/>
      <w:divBdr>
        <w:top w:val="none" w:sz="0" w:space="0" w:color="auto"/>
        <w:left w:val="none" w:sz="0" w:space="0" w:color="auto"/>
        <w:bottom w:val="none" w:sz="0" w:space="0" w:color="auto"/>
        <w:right w:val="none" w:sz="0" w:space="0" w:color="auto"/>
      </w:divBdr>
    </w:div>
    <w:div w:id="746347733">
      <w:bodyDiv w:val="1"/>
      <w:marLeft w:val="0"/>
      <w:marRight w:val="0"/>
      <w:marTop w:val="0"/>
      <w:marBottom w:val="0"/>
      <w:divBdr>
        <w:top w:val="none" w:sz="0" w:space="0" w:color="auto"/>
        <w:left w:val="none" w:sz="0" w:space="0" w:color="auto"/>
        <w:bottom w:val="none" w:sz="0" w:space="0" w:color="auto"/>
        <w:right w:val="none" w:sz="0" w:space="0" w:color="auto"/>
      </w:divBdr>
    </w:div>
    <w:div w:id="781262984">
      <w:bodyDiv w:val="1"/>
      <w:marLeft w:val="0"/>
      <w:marRight w:val="0"/>
      <w:marTop w:val="0"/>
      <w:marBottom w:val="0"/>
      <w:divBdr>
        <w:top w:val="none" w:sz="0" w:space="0" w:color="auto"/>
        <w:left w:val="none" w:sz="0" w:space="0" w:color="auto"/>
        <w:bottom w:val="none" w:sz="0" w:space="0" w:color="auto"/>
        <w:right w:val="none" w:sz="0" w:space="0" w:color="auto"/>
      </w:divBdr>
    </w:div>
    <w:div w:id="856307734">
      <w:bodyDiv w:val="1"/>
      <w:marLeft w:val="0"/>
      <w:marRight w:val="0"/>
      <w:marTop w:val="0"/>
      <w:marBottom w:val="0"/>
      <w:divBdr>
        <w:top w:val="none" w:sz="0" w:space="0" w:color="auto"/>
        <w:left w:val="none" w:sz="0" w:space="0" w:color="auto"/>
        <w:bottom w:val="none" w:sz="0" w:space="0" w:color="auto"/>
        <w:right w:val="none" w:sz="0" w:space="0" w:color="auto"/>
      </w:divBdr>
    </w:div>
    <w:div w:id="1511021859">
      <w:bodyDiv w:val="1"/>
      <w:marLeft w:val="0"/>
      <w:marRight w:val="0"/>
      <w:marTop w:val="0"/>
      <w:marBottom w:val="0"/>
      <w:divBdr>
        <w:top w:val="none" w:sz="0" w:space="0" w:color="auto"/>
        <w:left w:val="none" w:sz="0" w:space="0" w:color="auto"/>
        <w:bottom w:val="none" w:sz="0" w:space="0" w:color="auto"/>
        <w:right w:val="none" w:sz="0" w:space="0" w:color="auto"/>
      </w:divBdr>
    </w:div>
    <w:div w:id="1717197004">
      <w:bodyDiv w:val="1"/>
      <w:marLeft w:val="0"/>
      <w:marRight w:val="0"/>
      <w:marTop w:val="0"/>
      <w:marBottom w:val="0"/>
      <w:divBdr>
        <w:top w:val="none" w:sz="0" w:space="0" w:color="auto"/>
        <w:left w:val="none" w:sz="0" w:space="0" w:color="auto"/>
        <w:bottom w:val="none" w:sz="0" w:space="0" w:color="auto"/>
        <w:right w:val="none" w:sz="0" w:space="0" w:color="auto"/>
      </w:divBdr>
    </w:div>
    <w:div w:id="17310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dym.hulevskyi@tsatu.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uliapostol11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3937-14C4-4F73-899A-0124D900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postol.yulia@outlook.com</cp:lastModifiedBy>
  <cp:revision>5</cp:revision>
  <dcterms:created xsi:type="dcterms:W3CDTF">2023-09-24T17:51:00Z</dcterms:created>
  <dcterms:modified xsi:type="dcterms:W3CDTF">2023-09-25T06:02:00Z</dcterms:modified>
</cp:coreProperties>
</file>