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9" w:rsidRPr="00760CC4" w:rsidRDefault="00CE3CFB" w:rsidP="00246015">
      <w:pPr>
        <w:widowControl w:val="0"/>
        <w:spacing w:after="0" w:line="276" w:lineRule="auto"/>
        <w:ind w:firstLine="720"/>
        <w:jc w:val="right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760CC4">
        <w:rPr>
          <w:rFonts w:ascii="Times New Roman" w:hAnsi="Times New Roman"/>
          <w:bCs/>
          <w:i/>
          <w:sz w:val="24"/>
          <w:szCs w:val="24"/>
          <w:lang w:val="uk-UA"/>
        </w:rPr>
        <w:t>Абалмасова Валентина</w:t>
      </w:r>
      <w:r w:rsidR="00D63D5B" w:rsidRPr="00760CC4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EF4EB5" w:rsidRPr="00760CC4" w:rsidRDefault="00EF4EB5" w:rsidP="00246015">
      <w:pPr>
        <w:widowControl w:val="0"/>
        <w:spacing w:after="0" w:line="276" w:lineRule="auto"/>
        <w:ind w:firstLine="720"/>
        <w:jc w:val="right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760CC4">
        <w:rPr>
          <w:rFonts w:ascii="Times New Roman" w:hAnsi="Times New Roman"/>
          <w:bCs/>
          <w:i/>
          <w:sz w:val="24"/>
          <w:szCs w:val="24"/>
          <w:lang w:val="uk-UA"/>
        </w:rPr>
        <w:t>аспірантка</w:t>
      </w:r>
    </w:p>
    <w:p w:rsidR="00CE3CFB" w:rsidRPr="00760CC4" w:rsidRDefault="00EF4EB5" w:rsidP="00246015">
      <w:pPr>
        <w:widowControl w:val="0"/>
        <w:spacing w:after="0" w:line="276" w:lineRule="auto"/>
        <w:ind w:firstLine="720"/>
        <w:jc w:val="right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760CC4">
        <w:rPr>
          <w:rFonts w:ascii="Times New Roman" w:hAnsi="Times New Roman"/>
          <w:bCs/>
          <w:i/>
          <w:sz w:val="24"/>
          <w:szCs w:val="24"/>
          <w:lang w:val="uk-UA"/>
        </w:rPr>
        <w:t>Маріупольського</w:t>
      </w:r>
      <w:r w:rsidR="00CE3CFB" w:rsidRPr="00760CC4">
        <w:rPr>
          <w:rFonts w:ascii="Times New Roman" w:hAnsi="Times New Roman"/>
          <w:bCs/>
          <w:i/>
          <w:sz w:val="24"/>
          <w:szCs w:val="24"/>
          <w:lang w:val="uk-UA"/>
        </w:rPr>
        <w:t xml:space="preserve"> державн</w:t>
      </w:r>
      <w:r w:rsidRPr="00760CC4">
        <w:rPr>
          <w:rFonts w:ascii="Times New Roman" w:hAnsi="Times New Roman"/>
          <w:bCs/>
          <w:i/>
          <w:sz w:val="24"/>
          <w:szCs w:val="24"/>
          <w:lang w:val="uk-UA"/>
        </w:rPr>
        <w:t>ого</w:t>
      </w:r>
      <w:r w:rsidR="00CE3CFB" w:rsidRPr="00760CC4">
        <w:rPr>
          <w:rFonts w:ascii="Times New Roman" w:hAnsi="Times New Roman"/>
          <w:bCs/>
          <w:i/>
          <w:sz w:val="24"/>
          <w:szCs w:val="24"/>
          <w:lang w:val="uk-UA"/>
        </w:rPr>
        <w:t xml:space="preserve"> університет</w:t>
      </w:r>
      <w:r w:rsidRPr="00760CC4">
        <w:rPr>
          <w:rFonts w:ascii="Times New Roman" w:hAnsi="Times New Roman"/>
          <w:bCs/>
          <w:i/>
          <w:sz w:val="24"/>
          <w:szCs w:val="24"/>
          <w:lang w:val="uk-UA"/>
        </w:rPr>
        <w:t>у</w:t>
      </w:r>
    </w:p>
    <w:p w:rsidR="00CE3CFB" w:rsidRPr="00D63D5B" w:rsidRDefault="00CE3CFB" w:rsidP="00246015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E3CFB" w:rsidRPr="00D63D5B" w:rsidRDefault="00CE3CFB" w:rsidP="00246015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/>
          <w:bCs/>
          <w:sz w:val="24"/>
          <w:szCs w:val="24"/>
          <w:lang w:val="uk-UA"/>
        </w:rPr>
        <w:t>СОЦІАЛЬНО-ЕКОНОМІЧНА КОЛАБОРАЦІЯ ЯК ІНСТРУМЕНТ ВИ</w:t>
      </w:r>
      <w:r w:rsidR="00EF4EB5" w:rsidRPr="00D63D5B">
        <w:rPr>
          <w:rFonts w:ascii="Times New Roman" w:hAnsi="Times New Roman"/>
          <w:b/>
          <w:bCs/>
          <w:sz w:val="24"/>
          <w:szCs w:val="24"/>
          <w:lang w:val="uk-UA"/>
        </w:rPr>
        <w:t>РІШЕННЯ УРБОЕКОЛОГІЧНИХ ПРОБЛЕМ</w:t>
      </w:r>
      <w:r w:rsidR="00760CC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CE3CFB" w:rsidRPr="00D63D5B" w:rsidRDefault="00CE3CFB" w:rsidP="00246015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E52100" w:rsidRPr="00D63D5B" w:rsidRDefault="00E52100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Стан довкілля в Донецькій області </w:t>
      </w:r>
      <w:r w:rsidR="001F7DDF" w:rsidRPr="00D63D5B">
        <w:rPr>
          <w:rFonts w:ascii="Times New Roman" w:hAnsi="Times New Roman"/>
          <w:bCs/>
          <w:sz w:val="24"/>
          <w:szCs w:val="24"/>
          <w:lang w:val="uk-UA"/>
        </w:rPr>
        <w:t>починаючи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 з 2014 </w:t>
      </w:r>
      <w:r w:rsidR="001F7DDF" w:rsidRPr="00D63D5B">
        <w:rPr>
          <w:rFonts w:ascii="Times New Roman" w:hAnsi="Times New Roman"/>
          <w:bCs/>
          <w:sz w:val="24"/>
          <w:szCs w:val="24"/>
          <w:lang w:val="uk-UA"/>
        </w:rPr>
        <w:t>року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 був відзначений високим рівнем антропогенної дії, спричиненої війною</w:t>
      </w:r>
      <w:r w:rsidR="00F91868" w:rsidRPr="00D63D5B">
        <w:rPr>
          <w:rFonts w:ascii="Times New Roman" w:hAnsi="Times New Roman"/>
          <w:bCs/>
          <w:sz w:val="24"/>
          <w:szCs w:val="24"/>
          <w:lang w:val="uk-UA"/>
        </w:rPr>
        <w:t xml:space="preserve"> Росії проти України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D10FB4" w:rsidRPr="00D63D5B">
        <w:rPr>
          <w:rFonts w:ascii="Times New Roman" w:hAnsi="Times New Roman"/>
          <w:bCs/>
          <w:sz w:val="24"/>
          <w:szCs w:val="24"/>
          <w:lang w:val="uk-UA"/>
        </w:rPr>
        <w:t>На частині території Донецької області органи державної влади тимчасово не здійснюють свої повноваження (розпорядження Кабінету Міністрів України від 7 листопада 2014 року № 1085-р (із змінами))</w:t>
      </w:r>
      <w:r w:rsidR="00886A9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86A94" w:rsidRPr="00886A94">
        <w:rPr>
          <w:rFonts w:ascii="Times New Roman" w:hAnsi="Times New Roman"/>
          <w:bCs/>
          <w:sz w:val="24"/>
          <w:szCs w:val="24"/>
          <w:lang w:val="uk-UA"/>
        </w:rPr>
        <w:t>[1]</w:t>
      </w:r>
      <w:r w:rsidR="00D10FB4" w:rsidRPr="00D63D5B">
        <w:rPr>
          <w:rFonts w:ascii="Times New Roman" w:hAnsi="Times New Roman"/>
          <w:bCs/>
          <w:sz w:val="24"/>
          <w:szCs w:val="24"/>
          <w:lang w:val="uk-UA"/>
        </w:rPr>
        <w:t>. В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наслідок бойових дій, інтенсивної технічної діяльності та несприятливих природних умов відбулося значне забруднення повітря, води, ґрунту та порушення біорізноманіття.</w:t>
      </w:r>
    </w:p>
    <w:p w:rsidR="00F91868" w:rsidRPr="00D63D5B" w:rsidRDefault="00F9186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Cs/>
          <w:sz w:val="24"/>
          <w:szCs w:val="24"/>
          <w:lang w:val="uk-UA"/>
        </w:rPr>
        <w:t>Маріуполь, як промислове і прифронтове місто, стик</w:t>
      </w:r>
      <w:r w:rsidR="00D63D5B" w:rsidRPr="00D63D5B">
        <w:rPr>
          <w:rFonts w:ascii="Times New Roman" w:hAnsi="Times New Roman"/>
          <w:bCs/>
          <w:sz w:val="24"/>
          <w:szCs w:val="24"/>
          <w:lang w:val="uk-UA"/>
        </w:rPr>
        <w:t>нулося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 у цей період</w:t>
      </w:r>
      <w:r w:rsidR="00D63D5B" w:rsidRPr="00D63D5B">
        <w:rPr>
          <w:rFonts w:ascii="Times New Roman" w:hAnsi="Times New Roman"/>
          <w:bCs/>
          <w:sz w:val="24"/>
          <w:szCs w:val="24"/>
          <w:lang w:val="uk-UA"/>
        </w:rPr>
        <w:t xml:space="preserve"> з багатьма викликами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, в тому числі, з проблемами поводження з відходами. Щороку півмільйонне населення Маріуполя виробляло 170–180 тис. тон ТПВ. Проєктний термін експлуатації полігону становить близько 13 років. Єдиний діючий полігон у місті в 2021 році був заповнений на 80%. Тобто цей полігон мав діяти до 2024 року, однак при зазначеному навантаженні він мав би експлуатуватися лише до 2020 року.</w:t>
      </w:r>
    </w:p>
    <w:p w:rsidR="00F91868" w:rsidRPr="00D63D5B" w:rsidRDefault="00F9186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Cs/>
          <w:sz w:val="24"/>
          <w:szCs w:val="24"/>
          <w:lang w:val="uk-UA"/>
        </w:rPr>
        <w:t>Незважаючи на нестабільну військово, політичну та економічну ситуацію у регіоні, в</w:t>
      </w:r>
      <w:r w:rsidRPr="00D63D5B">
        <w:rPr>
          <w:rFonts w:ascii="Times New Roman" w:hAnsi="Times New Roman"/>
          <w:sz w:val="24"/>
          <w:szCs w:val="24"/>
          <w:lang w:val="uk-UA"/>
        </w:rPr>
        <w:t xml:space="preserve"> 2019 році 12 представників соціального бізнесу у сфері поводження з відходами 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об’єднали зусилля для створення</w:t>
      </w:r>
      <w:r w:rsidRPr="00D63D5B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ластеру переробників відходів та</w:t>
      </w:r>
      <w:r w:rsidRPr="00D63D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вторинної сировини «ЕКО ГУРТ»</w:t>
      </w:r>
      <w:r w:rsidR="00886A94" w:rsidRPr="00886A94">
        <w:rPr>
          <w:rFonts w:ascii="Times New Roman" w:hAnsi="Times New Roman"/>
          <w:bCs/>
          <w:sz w:val="24"/>
          <w:szCs w:val="24"/>
          <w:lang w:val="uk-UA"/>
        </w:rPr>
        <w:t xml:space="preserve"> [2]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 на підконтрольній Україні території Донецької області (табл.1). </w:t>
      </w:r>
    </w:p>
    <w:p w:rsidR="00F91868" w:rsidRPr="00D63D5B" w:rsidRDefault="00F9186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/>
          <w:bCs/>
          <w:sz w:val="24"/>
          <w:szCs w:val="24"/>
          <w:lang w:val="uk-UA"/>
        </w:rPr>
        <w:t xml:space="preserve">Таблиця 1. 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Кількість соціальних підприємств, як членів Кластеру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559"/>
        <w:gridCol w:w="1036"/>
      </w:tblGrid>
      <w:tr w:rsidR="00F91868" w:rsidRPr="00D63D5B" w:rsidTr="007A1498">
        <w:trPr>
          <w:jc w:val="center"/>
        </w:trPr>
        <w:tc>
          <w:tcPr>
            <w:tcW w:w="4106" w:type="dxa"/>
            <w:vMerge w:val="restart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2977" w:type="dxa"/>
            <w:gridSpan w:val="2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Партнери Маріуполь, шт.</w:t>
            </w:r>
          </w:p>
        </w:tc>
        <w:tc>
          <w:tcPr>
            <w:tcW w:w="2595" w:type="dxa"/>
            <w:gridSpan w:val="2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Партнери область, шт.</w:t>
            </w:r>
          </w:p>
        </w:tc>
      </w:tr>
      <w:tr w:rsidR="00F91868" w:rsidRPr="00D63D5B" w:rsidTr="007A1498">
        <w:trPr>
          <w:jc w:val="center"/>
        </w:trPr>
        <w:tc>
          <w:tcPr>
            <w:tcW w:w="4106" w:type="dxa"/>
            <w:vMerge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ФОП</w:t>
            </w:r>
          </w:p>
        </w:tc>
        <w:tc>
          <w:tcPr>
            <w:tcW w:w="1418" w:type="dxa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</w:t>
            </w:r>
          </w:p>
        </w:tc>
        <w:tc>
          <w:tcPr>
            <w:tcW w:w="1559" w:type="dxa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ФОП</w:t>
            </w:r>
          </w:p>
        </w:tc>
        <w:tc>
          <w:tcPr>
            <w:tcW w:w="1036" w:type="dxa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</w:t>
            </w:r>
          </w:p>
        </w:tc>
      </w:tr>
      <w:tr w:rsidR="00F91868" w:rsidRPr="00D63D5B" w:rsidTr="007A1498">
        <w:trPr>
          <w:jc w:val="center"/>
        </w:trPr>
        <w:tc>
          <w:tcPr>
            <w:tcW w:w="4106" w:type="dxa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559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36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F91868" w:rsidRPr="00D63D5B" w:rsidTr="007A1498">
        <w:trPr>
          <w:jc w:val="center"/>
        </w:trPr>
        <w:tc>
          <w:tcPr>
            <w:tcW w:w="4106" w:type="dxa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 рік</w:t>
            </w:r>
            <w:r w:rsidR="00D63D5B"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(після повномасштабного вторгнення)</w:t>
            </w:r>
          </w:p>
        </w:tc>
        <w:tc>
          <w:tcPr>
            <w:tcW w:w="1559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36" w:type="dxa"/>
            <w:vAlign w:val="center"/>
          </w:tcPr>
          <w:p w:rsidR="00F91868" w:rsidRPr="00D63D5B" w:rsidRDefault="00F91868" w:rsidP="0024601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3D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F91868" w:rsidRPr="00D63D5B" w:rsidRDefault="00F9186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Cs/>
          <w:sz w:val="24"/>
          <w:szCs w:val="24"/>
          <w:lang w:val="uk-UA"/>
        </w:rPr>
        <w:t>Діяльність Кластеру переробників відходів та вторинної сировини ГО «ЕКО ГУРТ»,</w:t>
      </w:r>
      <w:r w:rsidR="00D63D5B" w:rsidRPr="00D63D5B">
        <w:rPr>
          <w:rFonts w:ascii="Times New Roman" w:hAnsi="Times New Roman"/>
          <w:bCs/>
          <w:sz w:val="24"/>
          <w:szCs w:val="24"/>
          <w:lang w:val="uk-UA"/>
        </w:rPr>
        <w:t xml:space="preserve"> можна розглядати,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 як приклад соціально-економічної колаборації соціальних підприємств у сфері поводження з відходами в Донецькій області.</w:t>
      </w:r>
    </w:p>
    <w:p w:rsidR="00691CFB" w:rsidRPr="00D63D5B" w:rsidRDefault="00691CFB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Cs/>
          <w:sz w:val="24"/>
          <w:szCs w:val="24"/>
          <w:lang w:val="uk-UA"/>
        </w:rPr>
        <w:t xml:space="preserve">Кластер з початку свого створення і до повномасштабного вторгнення Росії в Україну займався формуванням інфраструктури з переробки відходів і створював економічно обґрунтовану логістичну схему збору відходів на території Донецької області. Він складався із 12 соціальних підприємств на території області. Серед них 10 – фізичні особи підприємці (ФОП) і 2 Товариства з обмеженою відповідальністю (ТОВ). Більша частина соціальних підприємств знаходилася у м. Маріуполі, </w:t>
      </w:r>
      <w:r w:rsidR="00623E56" w:rsidRPr="00D63D5B">
        <w:rPr>
          <w:rFonts w:ascii="Times New Roman" w:hAnsi="Times New Roman"/>
          <w:bCs/>
          <w:sz w:val="24"/>
          <w:szCs w:val="24"/>
          <w:lang w:val="uk-UA"/>
        </w:rPr>
        <w:t xml:space="preserve">інші члени у Мангушському районі, м. Торецьку та Костянтинівці. </w:t>
      </w:r>
      <w:r w:rsidRPr="00D63D5B">
        <w:rPr>
          <w:rFonts w:ascii="Times New Roman" w:hAnsi="Times New Roman"/>
          <w:bCs/>
          <w:sz w:val="24"/>
          <w:szCs w:val="24"/>
          <w:lang w:val="uk-UA"/>
        </w:rPr>
        <w:t>Але внаслідок окупації м. Маріуполя та жорстоких бойових дій на території Донецької області більшість соціальних підприємців Кластеру припинили свою діяльність, тому що втратили свої підприємства та вимушені були покинути регіон.</w:t>
      </w:r>
    </w:p>
    <w:p w:rsidR="007E3AA3" w:rsidRDefault="00914F1A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3D5B">
        <w:rPr>
          <w:rFonts w:ascii="Times New Roman" w:hAnsi="Times New Roman"/>
          <w:bCs/>
          <w:sz w:val="24"/>
          <w:szCs w:val="24"/>
          <w:lang w:val="uk-UA"/>
        </w:rPr>
        <w:t>Кластер здійснював</w:t>
      </w:r>
      <w:r w:rsidR="008D4024" w:rsidRPr="00D63D5B">
        <w:rPr>
          <w:rFonts w:ascii="Times New Roman" w:hAnsi="Times New Roman"/>
          <w:bCs/>
          <w:sz w:val="24"/>
          <w:szCs w:val="24"/>
          <w:lang w:val="uk-UA"/>
        </w:rPr>
        <w:t xml:space="preserve"> збір, сортування, переробку та утилізацію різних видів відходів, таких </w:t>
      </w:r>
      <w:r w:rsidR="008D4024" w:rsidRPr="00D63D5B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як пластик, папір, скло та метал. </w:t>
      </w:r>
      <w:r w:rsidR="007E3AA3" w:rsidRPr="00D63D5B">
        <w:rPr>
          <w:rFonts w:ascii="Times New Roman" w:hAnsi="Times New Roman"/>
          <w:bCs/>
          <w:sz w:val="24"/>
          <w:szCs w:val="24"/>
          <w:lang w:val="uk-UA"/>
        </w:rPr>
        <w:t>Процес переробки відходів та вторинної сировини зменшує кількість викидів в атмосферу та водні джерела. Крім того, Кластер застосову</w:t>
      </w:r>
      <w:r w:rsidR="00CD2911" w:rsidRPr="00D63D5B">
        <w:rPr>
          <w:rFonts w:ascii="Times New Roman" w:hAnsi="Times New Roman"/>
          <w:bCs/>
          <w:sz w:val="24"/>
          <w:szCs w:val="24"/>
          <w:lang w:val="uk-UA"/>
        </w:rPr>
        <w:t>вав</w:t>
      </w:r>
      <w:r w:rsidR="007E3AA3" w:rsidRPr="00D63D5B">
        <w:rPr>
          <w:rFonts w:ascii="Times New Roman" w:hAnsi="Times New Roman"/>
          <w:bCs/>
          <w:sz w:val="24"/>
          <w:szCs w:val="24"/>
          <w:lang w:val="uk-UA"/>
        </w:rPr>
        <w:t xml:space="preserve"> інноваційні технології </w:t>
      </w:r>
      <w:r w:rsidR="00CD2911" w:rsidRPr="00D63D5B">
        <w:rPr>
          <w:rFonts w:ascii="Times New Roman" w:hAnsi="Times New Roman"/>
          <w:bCs/>
          <w:sz w:val="24"/>
          <w:szCs w:val="24"/>
          <w:lang w:val="uk-UA"/>
        </w:rPr>
        <w:t>та методи переробки, що дозволяли</w:t>
      </w:r>
      <w:r w:rsidR="007E3AA3" w:rsidRPr="00D63D5B">
        <w:rPr>
          <w:rFonts w:ascii="Times New Roman" w:hAnsi="Times New Roman"/>
          <w:bCs/>
          <w:sz w:val="24"/>
          <w:szCs w:val="24"/>
          <w:lang w:val="uk-UA"/>
        </w:rPr>
        <w:t xml:space="preserve"> відновлювати матеріал</w:t>
      </w:r>
      <w:r w:rsidR="00CD2911" w:rsidRPr="00D63D5B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7E3AA3" w:rsidRPr="00D63D5B">
        <w:rPr>
          <w:rFonts w:ascii="Times New Roman" w:hAnsi="Times New Roman"/>
          <w:bCs/>
          <w:sz w:val="24"/>
          <w:szCs w:val="24"/>
          <w:lang w:val="uk-UA"/>
        </w:rPr>
        <w:t>. Це, у свою чергу, знижує потребу у видобутку нових природних ресурсів та скорочує вплив на навколишнє середовище при видобутку. Загалом діяльність Кластера переробки відходів та вторинної сировини ЕКО ГУРТ у Донецькій області сприяла зменшенню навантаження на регіон, підвищуючи якість життя мешканців та сприяючи сталому розвитку регіону</w:t>
      </w:r>
      <w:r w:rsidR="00886A94" w:rsidRPr="00886A94">
        <w:rPr>
          <w:rFonts w:ascii="Times New Roman" w:hAnsi="Times New Roman"/>
          <w:bCs/>
          <w:sz w:val="24"/>
          <w:szCs w:val="24"/>
          <w:lang w:val="uk-UA"/>
        </w:rPr>
        <w:t xml:space="preserve"> [3]</w:t>
      </w:r>
      <w:r w:rsidR="007E3AA3" w:rsidRPr="00D63D5B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A149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E3AA3" w:rsidRPr="00D63D5B">
        <w:rPr>
          <w:rFonts w:ascii="Times New Roman" w:hAnsi="Times New Roman"/>
          <w:bCs/>
          <w:sz w:val="24"/>
          <w:szCs w:val="24"/>
          <w:lang w:val="uk-UA"/>
        </w:rPr>
        <w:t>Зараз з 12 соціальних підприємств продовжують свою діяльність лише 2. Їм вдалося відновити діяльність на підконтрольній Україні території в м. Дніпро.</w:t>
      </w:r>
    </w:p>
    <w:p w:rsidR="00E268C8" w:rsidRP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/>
          <w:bCs/>
          <w:sz w:val="24"/>
          <w:szCs w:val="24"/>
          <w:lang w:val="uk-UA"/>
        </w:rPr>
        <w:t>Мета дослідження: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 xml:space="preserve"> аналіз ролі об’єднання зусиль соціального бізнесу</w:t>
      </w:r>
      <w:r w:rsidR="007A1498">
        <w:rPr>
          <w:rFonts w:ascii="Times New Roman" w:hAnsi="Times New Roman"/>
          <w:bCs/>
          <w:sz w:val="24"/>
          <w:szCs w:val="24"/>
          <w:lang w:val="uk-UA"/>
        </w:rPr>
        <w:t xml:space="preserve"> для вирішення урбоекологічних проблем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268C8" w:rsidRP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/>
          <w:bCs/>
          <w:sz w:val="24"/>
          <w:szCs w:val="24"/>
          <w:lang w:val="uk-UA"/>
        </w:rPr>
        <w:t>Методологія проведення дослідження.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 xml:space="preserve"> Better Entrepreneurship Policy Tool </w:t>
      </w:r>
      <w:r w:rsidR="007A1498">
        <w:rPr>
          <w:rFonts w:ascii="Times New Roman" w:hAnsi="Times New Roman"/>
          <w:bCs/>
          <w:sz w:val="24"/>
          <w:szCs w:val="24"/>
          <w:lang w:val="uk-UA"/>
        </w:rPr>
        <w:t>[4]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 xml:space="preserve"> – це онлайн-інструмент, призначений для політиків та інших зацікавлених сторін на місцевому, регіональному та національному рівнях.  Цей інструмент дозволяє оцінити, чи поточні політики та програми дозволяють і підтримують соціальні підприємства для запуску та розширення. </w:t>
      </w:r>
    </w:p>
    <w:p w:rsid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Оцінювання включає сім модулів із запитаннями, які охоплюють різні сфери діяльності в екосис</w:t>
      </w:r>
      <w:r>
        <w:rPr>
          <w:rFonts w:ascii="Times New Roman" w:hAnsi="Times New Roman"/>
          <w:bCs/>
          <w:sz w:val="24"/>
          <w:szCs w:val="24"/>
          <w:lang w:val="uk-UA"/>
        </w:rPr>
        <w:t>темі соціального підприємництва:</w:t>
      </w:r>
    </w:p>
    <w:p w:rsidR="00E268C8" w:rsidRP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Культура соціального підприємництва.</w:t>
      </w:r>
    </w:p>
    <w:p w:rsid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Інституційна основа.</w:t>
      </w:r>
    </w:p>
    <w:p w:rsid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Нормативно-правова база.</w:t>
      </w:r>
    </w:p>
    <w:p w:rsid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Доступ до фінансів.</w:t>
      </w:r>
    </w:p>
    <w:p w:rsid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Доступ до ринків.</w:t>
      </w:r>
    </w:p>
    <w:p w:rsid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Навички та підтримка розвитку бізнесу.</w:t>
      </w:r>
    </w:p>
    <w:p w:rsidR="00E268C8" w:rsidRDefault="00E268C8" w:rsidP="00246015">
      <w:pPr>
        <w:pStyle w:val="a5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Управління, вимірювання та звітування про вплив.</w:t>
      </w:r>
    </w:p>
    <w:p w:rsidR="00E268C8" w:rsidRP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На основі цієї методології було проведено дослідження серед соціальних підприємців членів Кластеру переробників відходів та вторинної сировини. У якому в період з квітня по травень 2023 року прийняли участь 8 представників соціальних підприємств.</w:t>
      </w:r>
    </w:p>
    <w:p w:rsid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 xml:space="preserve">Кожен модуль складався від 5 до 8 питань, які підприємці оцінювали за 10 бальною шкалою. Зведений результат оцінювання наведено у вигляді діаграми (діаграма 1).  </w:t>
      </w:r>
    </w:p>
    <w:p w:rsid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/>
          <w:bCs/>
          <w:sz w:val="24"/>
          <w:szCs w:val="24"/>
          <w:lang w:val="uk-UA"/>
        </w:rPr>
        <w:t>Діаграма 1.</w:t>
      </w:r>
      <w:r w:rsidRPr="007A1498">
        <w:rPr>
          <w:rFonts w:ascii="Times New Roman" w:hAnsi="Times New Roman"/>
          <w:bCs/>
          <w:sz w:val="24"/>
          <w:szCs w:val="24"/>
          <w:lang w:val="uk-UA"/>
        </w:rPr>
        <w:t xml:space="preserve"> Загальна оцінка модулів соціальними підприємцями, членами Кластеру</w:t>
      </w:r>
    </w:p>
    <w:p w:rsidR="00E268C8" w:rsidRDefault="00E268C8" w:rsidP="00246015">
      <w:pPr>
        <w:widowControl w:val="0"/>
        <w:spacing w:after="0" w:line="276" w:lineRule="auto"/>
        <w:ind w:firstLine="72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0F4D176B">
            <wp:extent cx="3131429" cy="22783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429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8C8" w:rsidRP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 xml:space="preserve">Для більш детального вивчення теми дослідження з урахуванням актуальної ситуації в 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lastRenderedPageBreak/>
        <w:t>Донецькій області був розроблений восьмий модуль анкети - Повоєнні перспективи. Який складався з відкритих питань де соціальним підприємцям було запропоновано дати свою оцінку та пропозиції щодо повоєнних перспектив у регіоні.</w:t>
      </w:r>
    </w:p>
    <w:p w:rsidR="00E268C8" w:rsidRP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Всі респонденти одноголосно зазначили що буде попит на їх послуги в регіоні у повоєнній перспективі. При цьому зазначивши, що серед умов для відновлення їх діяльності будуть: перемога України у війні, безпека, фінансова підтримка від держави та донорів, діючи програми економічного розвитку регіону та екологічного відновлення.</w:t>
      </w:r>
    </w:p>
    <w:p w:rsidR="00E268C8" w:rsidRPr="00E268C8" w:rsidRDefault="00E268C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>Щодо ролі соціального підприємства у сфері поводження з відходами та саме Кластеру під час відбудови України, то респонденти вбачать її дуже високою. Та готові приймати активну участь у проєктах відбудови міста Маріуполь та області в цілому.</w:t>
      </w:r>
    </w:p>
    <w:p w:rsidR="007A1498" w:rsidRDefault="00E268C8" w:rsidP="00246015">
      <w:pPr>
        <w:widowControl w:val="0"/>
        <w:spacing w:after="0" w:line="276" w:lineRule="auto"/>
        <w:ind w:firstLine="720"/>
        <w:jc w:val="both"/>
        <w:rPr>
          <w:lang w:val="ru-RU"/>
        </w:rPr>
      </w:pPr>
      <w:r w:rsidRPr="00E268C8">
        <w:rPr>
          <w:rFonts w:ascii="Times New Roman" w:hAnsi="Times New Roman"/>
          <w:bCs/>
          <w:sz w:val="24"/>
          <w:szCs w:val="24"/>
          <w:lang w:val="uk-UA"/>
        </w:rPr>
        <w:t xml:space="preserve">На питання </w:t>
      </w:r>
      <w:r w:rsidR="007A1498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>Чи має Кла</w:t>
      </w:r>
      <w:r w:rsidR="007A1498">
        <w:rPr>
          <w:rFonts w:ascii="Times New Roman" w:hAnsi="Times New Roman"/>
          <w:bCs/>
          <w:sz w:val="24"/>
          <w:szCs w:val="24"/>
          <w:lang w:val="uk-UA"/>
        </w:rPr>
        <w:t>стер зараз вплив на Ваше життя?» о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>дин з респондентів відповів: «Підприємці з Маріуполя втратили усі свої активи. Усі підприємства припинили свою діяльність у окупованому місті. Деякі підприємці області релокувались до Дніпра. Деякі підприємці не знаходяться в Україні. Але підтримуємо зв'язок. Обговорюємо сумісні плани на майбутнє та про</w:t>
      </w:r>
      <w:r w:rsidR="007A1498">
        <w:rPr>
          <w:rFonts w:ascii="Times New Roman" w:hAnsi="Times New Roman"/>
          <w:bCs/>
          <w:sz w:val="24"/>
          <w:szCs w:val="24"/>
          <w:lang w:val="uk-UA"/>
        </w:rPr>
        <w:t>єкти. Маємо бажання відродитися</w:t>
      </w:r>
      <w:r w:rsidRPr="00E268C8">
        <w:rPr>
          <w:rFonts w:ascii="Times New Roman" w:hAnsi="Times New Roman"/>
          <w:bCs/>
          <w:sz w:val="24"/>
          <w:szCs w:val="24"/>
          <w:lang w:val="uk-UA"/>
        </w:rPr>
        <w:t>».</w:t>
      </w:r>
      <w:r w:rsidR="007A1498" w:rsidRPr="007A1498">
        <w:rPr>
          <w:lang w:val="ru-RU"/>
        </w:rPr>
        <w:t xml:space="preserve"> </w:t>
      </w:r>
    </w:p>
    <w:p w:rsidR="007A1498" w:rsidRP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Для покращення роботи соціальних підприємців, членів Кластеру у Донецькій області в повоєнний період рекомендується наступне:</w:t>
      </w:r>
    </w:p>
    <w:p w:rsidR="007A1498" w:rsidRP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1. Розробити Стратегію розвитку Кластера з урахуванням місцевих умов та потенціалу для підвищення ефективності використання ресурсів. Для цього необхідно провести всебічний аналіз ризиків, можливостей та перешкод у даному секторі.</w:t>
      </w:r>
    </w:p>
    <w:p w:rsidR="007A1498" w:rsidRP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2. Забезпечити соціальну захищеність працівників та членів Кластеру, наприклад, за рахунок підвищення їх кваліфікації та покращення умов праці. Це допоможе залучити та зберегти кваліфікованих фахівців у даному секторі.</w:t>
      </w:r>
    </w:p>
    <w:p w:rsidR="007A1498" w:rsidRP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3. Розвивати систему логістичної підтримки Кластера, оптимізувати виробничі процеси та забезпечити швидке та ефективне пересування вантажів з одного підприємства на інше. Для цього необхідно на постійній основі займатися пошуком нових членів.</w:t>
      </w:r>
    </w:p>
    <w:p w:rsidR="007A1498" w:rsidRP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4. Співпрацювати з місцевими органами влади для вирішення екологічних проблем регіону, включаючи поводження з відходами.</w:t>
      </w:r>
    </w:p>
    <w:p w:rsidR="007A1498" w:rsidRPr="007A149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5. Розробити Програму розвитку підприємств Кластеру, що включатиме, як невеликі місцеві компанії, так і великих міжнародних інвесторів. Це дозволить розширити сферу діяльності Кластеру та підвищити його прибутковість.</w:t>
      </w:r>
    </w:p>
    <w:p w:rsidR="00E268C8" w:rsidRPr="00E268C8" w:rsidRDefault="007A1498" w:rsidP="00246015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498">
        <w:rPr>
          <w:rFonts w:ascii="Times New Roman" w:hAnsi="Times New Roman"/>
          <w:bCs/>
          <w:sz w:val="24"/>
          <w:szCs w:val="24"/>
          <w:lang w:val="uk-UA"/>
        </w:rPr>
        <w:t>6. Просувати Кластер на міжнародному ринку та брати участь у міжнародних виставках та заходах, щоб покращити його репутацію на світовому ринку.</w:t>
      </w:r>
    </w:p>
    <w:p w:rsidR="00454819" w:rsidRPr="00454819" w:rsidRDefault="004742A5" w:rsidP="00454819">
      <w:pPr>
        <w:pStyle w:val="a5"/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Джерела та</w:t>
      </w:r>
      <w:r w:rsidR="00454819" w:rsidRPr="00454819">
        <w:rPr>
          <w:rFonts w:ascii="Times New Roman" w:hAnsi="Times New Roman"/>
          <w:sz w:val="24"/>
          <w:szCs w:val="24"/>
          <w:lang w:val="uk-UA"/>
        </w:rPr>
        <w:t xml:space="preserve"> літератур</w:t>
      </w:r>
      <w:r>
        <w:rPr>
          <w:rFonts w:ascii="Times New Roman" w:hAnsi="Times New Roman"/>
          <w:sz w:val="24"/>
          <w:szCs w:val="24"/>
          <w:lang w:val="uk-UA"/>
        </w:rPr>
        <w:t>а</w:t>
      </w:r>
      <w:bookmarkStart w:id="0" w:name="_GoBack"/>
      <w:bookmarkEnd w:id="0"/>
      <w:r w:rsidR="00454819" w:rsidRPr="00454819">
        <w:rPr>
          <w:rFonts w:ascii="Times New Roman" w:hAnsi="Times New Roman"/>
          <w:sz w:val="24"/>
          <w:szCs w:val="24"/>
          <w:lang w:val="uk-UA"/>
        </w:rPr>
        <w:t>:</w:t>
      </w:r>
    </w:p>
    <w:p w:rsidR="006E70DF" w:rsidRDefault="006E70DF" w:rsidP="00454819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6E70DF">
        <w:rPr>
          <w:rFonts w:ascii="Times New Roman" w:hAnsi="Times New Roman"/>
          <w:sz w:val="24"/>
          <w:szCs w:val="24"/>
          <w:lang w:val="uk-UA"/>
        </w:rPr>
        <w:t xml:space="preserve">Про внесення змін до розпорядження Кабінету Міністрів України від 7 листопада 2014 р. № 1085 : Розпорядж. Каб. Міністрів України від 05.05.2015 р. № 428-р. URL: </w:t>
      </w:r>
      <w:hyperlink r:id="rId9" w:anchor="Text" w:history="1">
        <w:r w:rsidRPr="00733760">
          <w:rPr>
            <w:rStyle w:val="a3"/>
            <w:rFonts w:ascii="Times New Roman" w:hAnsi="Times New Roman"/>
            <w:sz w:val="24"/>
            <w:szCs w:val="24"/>
            <w:lang w:val="uk-UA"/>
          </w:rPr>
          <w:t>https://zakon.rada.gov.ua/laws/show/428-2015-р#Text</w:t>
        </w:r>
      </w:hyperlink>
    </w:p>
    <w:p w:rsidR="00E268C8" w:rsidRDefault="00E268C8" w:rsidP="00246015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</w:t>
      </w:r>
      <w:r w:rsidR="006E70DF" w:rsidRPr="006E70DF">
        <w:rPr>
          <w:rFonts w:ascii="Times New Roman" w:hAnsi="Times New Roman"/>
          <w:sz w:val="24"/>
          <w:szCs w:val="24"/>
          <w:lang w:val="uk-UA"/>
        </w:rPr>
        <w:t xml:space="preserve"> «ЕКО ГУРТ». Дія.Бізнес - Головна сторінка. URL: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0" w:history="1">
        <w:r w:rsidRPr="00733760">
          <w:rPr>
            <w:rStyle w:val="a3"/>
            <w:rFonts w:ascii="Times New Roman" w:hAnsi="Times New Roman"/>
            <w:sz w:val="24"/>
            <w:szCs w:val="24"/>
            <w:lang w:val="uk-UA"/>
          </w:rPr>
          <w:t>https://business.diia.gov.ua/participants/fop-ceban-ganna-valeriivna-eko-gurt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62F6A" w:rsidRDefault="00962F6A" w:rsidP="00246015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7A1498">
        <w:rPr>
          <w:rFonts w:ascii="Times New Roman" w:hAnsi="Times New Roman"/>
          <w:sz w:val="24"/>
          <w:szCs w:val="24"/>
          <w:lang w:val="uk-UA"/>
        </w:rPr>
        <w:t>Сайт Кластера переробки відходів та в</w:t>
      </w:r>
      <w:r w:rsidR="00E268C8" w:rsidRPr="007A1498">
        <w:rPr>
          <w:rFonts w:ascii="Times New Roman" w:hAnsi="Times New Roman"/>
          <w:sz w:val="24"/>
          <w:szCs w:val="24"/>
          <w:lang w:val="uk-UA"/>
        </w:rPr>
        <w:t xml:space="preserve">торинної сировини ГО «ЕКО ГУРТ». URL: </w:t>
      </w:r>
      <w:hyperlink r:id="rId11" w:history="1">
        <w:r w:rsidR="00E268C8" w:rsidRPr="007A1498">
          <w:rPr>
            <w:rStyle w:val="a3"/>
            <w:rFonts w:ascii="Times New Roman" w:hAnsi="Times New Roman"/>
            <w:sz w:val="24"/>
            <w:szCs w:val="24"/>
            <w:lang w:val="uk-UA"/>
          </w:rPr>
          <w:t>https://eco.free4you.space/</w:t>
        </w:r>
      </w:hyperlink>
      <w:r w:rsidRPr="007A1498">
        <w:rPr>
          <w:rFonts w:ascii="Times New Roman" w:hAnsi="Times New Roman"/>
          <w:sz w:val="24"/>
          <w:szCs w:val="24"/>
          <w:lang w:val="uk-UA"/>
        </w:rPr>
        <w:t>.</w:t>
      </w:r>
    </w:p>
    <w:p w:rsidR="00246015" w:rsidRPr="00246015" w:rsidRDefault="007A1498" w:rsidP="00246015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7A1498">
        <w:rPr>
          <w:rFonts w:ascii="Times New Roman" w:hAnsi="Times New Roman"/>
          <w:sz w:val="24"/>
          <w:szCs w:val="24"/>
          <w:lang w:val="uk-UA"/>
        </w:rPr>
        <w:t xml:space="preserve">The Better Entrepreneurship Policy Tool. URL: </w:t>
      </w:r>
      <w:hyperlink r:id="rId12" w:history="1">
        <w:r w:rsidRPr="00733760">
          <w:rPr>
            <w:rStyle w:val="a3"/>
            <w:rFonts w:ascii="Times New Roman" w:hAnsi="Times New Roman"/>
            <w:sz w:val="24"/>
            <w:szCs w:val="24"/>
            <w:lang w:val="uk-UA"/>
          </w:rPr>
          <w:t>https://betterentrepreneurship.eu/en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sectPr w:rsidR="00246015" w:rsidRPr="00246015" w:rsidSect="00D63D5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F2" w:rsidRDefault="004E10F2" w:rsidP="00D10FB4">
      <w:pPr>
        <w:spacing w:after="0" w:line="240" w:lineRule="auto"/>
      </w:pPr>
      <w:r>
        <w:separator/>
      </w:r>
    </w:p>
  </w:endnote>
  <w:endnote w:type="continuationSeparator" w:id="0">
    <w:p w:rsidR="004E10F2" w:rsidRDefault="004E10F2" w:rsidP="00D1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F2" w:rsidRDefault="004E10F2" w:rsidP="00D10FB4">
      <w:pPr>
        <w:spacing w:after="0" w:line="240" w:lineRule="auto"/>
      </w:pPr>
      <w:r>
        <w:separator/>
      </w:r>
    </w:p>
  </w:footnote>
  <w:footnote w:type="continuationSeparator" w:id="0">
    <w:p w:rsidR="004E10F2" w:rsidRDefault="004E10F2" w:rsidP="00D1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590"/>
    <w:multiLevelType w:val="hybridMultilevel"/>
    <w:tmpl w:val="743219A0"/>
    <w:lvl w:ilvl="0" w:tplc="44AE1DE6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C2F"/>
    <w:multiLevelType w:val="hybridMultilevel"/>
    <w:tmpl w:val="5478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9C0"/>
    <w:multiLevelType w:val="hybridMultilevel"/>
    <w:tmpl w:val="BBB8F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A39"/>
    <w:multiLevelType w:val="hybridMultilevel"/>
    <w:tmpl w:val="C22E0BF0"/>
    <w:lvl w:ilvl="0" w:tplc="7CC63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A5F5D"/>
    <w:multiLevelType w:val="hybridMultilevel"/>
    <w:tmpl w:val="400ECC6A"/>
    <w:lvl w:ilvl="0" w:tplc="997231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554F0386"/>
    <w:multiLevelType w:val="hybridMultilevel"/>
    <w:tmpl w:val="6EF2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1408E"/>
    <w:multiLevelType w:val="multilevel"/>
    <w:tmpl w:val="9EF6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2772DC"/>
    <w:multiLevelType w:val="hybridMultilevel"/>
    <w:tmpl w:val="4B6C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7EC7"/>
    <w:multiLevelType w:val="hybridMultilevel"/>
    <w:tmpl w:val="0DD034C6"/>
    <w:lvl w:ilvl="0" w:tplc="BB7AB18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47911"/>
    <w:multiLevelType w:val="hybridMultilevel"/>
    <w:tmpl w:val="8022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48"/>
    <w:rsid w:val="00074739"/>
    <w:rsid w:val="00086949"/>
    <w:rsid w:val="000A0753"/>
    <w:rsid w:val="00104083"/>
    <w:rsid w:val="00115D0D"/>
    <w:rsid w:val="0016267B"/>
    <w:rsid w:val="00180C8C"/>
    <w:rsid w:val="001A4B42"/>
    <w:rsid w:val="001F7DDF"/>
    <w:rsid w:val="002344B8"/>
    <w:rsid w:val="00235BBB"/>
    <w:rsid w:val="00236741"/>
    <w:rsid w:val="00246015"/>
    <w:rsid w:val="0025783D"/>
    <w:rsid w:val="002876CA"/>
    <w:rsid w:val="002B6ECB"/>
    <w:rsid w:val="002C470D"/>
    <w:rsid w:val="0030093F"/>
    <w:rsid w:val="00321A82"/>
    <w:rsid w:val="00330E91"/>
    <w:rsid w:val="00334BD0"/>
    <w:rsid w:val="0036674F"/>
    <w:rsid w:val="00371352"/>
    <w:rsid w:val="00382874"/>
    <w:rsid w:val="003A1156"/>
    <w:rsid w:val="003D3667"/>
    <w:rsid w:val="003E5CC7"/>
    <w:rsid w:val="00406048"/>
    <w:rsid w:val="00406A45"/>
    <w:rsid w:val="00454819"/>
    <w:rsid w:val="00462732"/>
    <w:rsid w:val="004742A5"/>
    <w:rsid w:val="00476479"/>
    <w:rsid w:val="004B3B08"/>
    <w:rsid w:val="004D6FE4"/>
    <w:rsid w:val="004E10F2"/>
    <w:rsid w:val="00567507"/>
    <w:rsid w:val="00572469"/>
    <w:rsid w:val="005C23F5"/>
    <w:rsid w:val="005E63AA"/>
    <w:rsid w:val="005F494B"/>
    <w:rsid w:val="00623E56"/>
    <w:rsid w:val="0065388D"/>
    <w:rsid w:val="00662CD6"/>
    <w:rsid w:val="00676231"/>
    <w:rsid w:val="00691CFB"/>
    <w:rsid w:val="006E1B4B"/>
    <w:rsid w:val="006E70DF"/>
    <w:rsid w:val="00730196"/>
    <w:rsid w:val="007552E3"/>
    <w:rsid w:val="00760CC4"/>
    <w:rsid w:val="00784AA0"/>
    <w:rsid w:val="00796BF2"/>
    <w:rsid w:val="007A1498"/>
    <w:rsid w:val="007D3BAB"/>
    <w:rsid w:val="007D77B3"/>
    <w:rsid w:val="007E3AA3"/>
    <w:rsid w:val="00803409"/>
    <w:rsid w:val="008175DB"/>
    <w:rsid w:val="00874D9A"/>
    <w:rsid w:val="00883223"/>
    <w:rsid w:val="00886A94"/>
    <w:rsid w:val="00894F7C"/>
    <w:rsid w:val="008950D6"/>
    <w:rsid w:val="008D4024"/>
    <w:rsid w:val="008E6EB1"/>
    <w:rsid w:val="00914F1A"/>
    <w:rsid w:val="00962049"/>
    <w:rsid w:val="00962F6A"/>
    <w:rsid w:val="00973E37"/>
    <w:rsid w:val="00993FBA"/>
    <w:rsid w:val="009B715D"/>
    <w:rsid w:val="009D6BC3"/>
    <w:rsid w:val="00A05850"/>
    <w:rsid w:val="00A4086A"/>
    <w:rsid w:val="00A409A1"/>
    <w:rsid w:val="00A44BDF"/>
    <w:rsid w:val="00A743C7"/>
    <w:rsid w:val="00AF07BB"/>
    <w:rsid w:val="00B77501"/>
    <w:rsid w:val="00B80ACF"/>
    <w:rsid w:val="00B929D4"/>
    <w:rsid w:val="00BD488A"/>
    <w:rsid w:val="00BE5027"/>
    <w:rsid w:val="00BF21F4"/>
    <w:rsid w:val="00C46BEB"/>
    <w:rsid w:val="00C47438"/>
    <w:rsid w:val="00C6016F"/>
    <w:rsid w:val="00C908E0"/>
    <w:rsid w:val="00CD2911"/>
    <w:rsid w:val="00CD33C4"/>
    <w:rsid w:val="00CD68C7"/>
    <w:rsid w:val="00CD78B7"/>
    <w:rsid w:val="00CE3CFB"/>
    <w:rsid w:val="00D10A82"/>
    <w:rsid w:val="00D10FB4"/>
    <w:rsid w:val="00D17E97"/>
    <w:rsid w:val="00D41B83"/>
    <w:rsid w:val="00D62C5B"/>
    <w:rsid w:val="00D63D5B"/>
    <w:rsid w:val="00D81DC5"/>
    <w:rsid w:val="00D833D8"/>
    <w:rsid w:val="00D86882"/>
    <w:rsid w:val="00DB6F88"/>
    <w:rsid w:val="00DC6658"/>
    <w:rsid w:val="00DD423C"/>
    <w:rsid w:val="00DF3EEF"/>
    <w:rsid w:val="00E268C8"/>
    <w:rsid w:val="00E32EAB"/>
    <w:rsid w:val="00E52100"/>
    <w:rsid w:val="00E86AD8"/>
    <w:rsid w:val="00E90F1A"/>
    <w:rsid w:val="00EC582B"/>
    <w:rsid w:val="00EE1FA9"/>
    <w:rsid w:val="00EF4EB5"/>
    <w:rsid w:val="00F31954"/>
    <w:rsid w:val="00F72195"/>
    <w:rsid w:val="00F81713"/>
    <w:rsid w:val="00F91868"/>
    <w:rsid w:val="00F94976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2A70"/>
  <w15:chartTrackingRefBased/>
  <w15:docId w15:val="{54F3B708-3BE5-4F72-9D9A-0ACE479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1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15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E63AA"/>
    <w:pPr>
      <w:ind w:left="720"/>
      <w:contextualSpacing/>
    </w:pPr>
  </w:style>
  <w:style w:type="table" w:styleId="a6">
    <w:name w:val="Table Grid"/>
    <w:basedOn w:val="a1"/>
    <w:uiPriority w:val="39"/>
    <w:rsid w:val="005E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D10FB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0FB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0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terentrepreneurship.eu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.free4you.spa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siness.diia.gov.ua/participants/fop-ceban-ganna-valeriivna-eko-gu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28-2015-&#108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DB5D-AD89-4045-ACCE-0AF8E05C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2023-10-16T06:56:00Z</dcterms:created>
  <dcterms:modified xsi:type="dcterms:W3CDTF">2023-10-16T08:43:00Z</dcterms:modified>
</cp:coreProperties>
</file>