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680C" w14:textId="5EED45D6" w:rsidR="0009099A" w:rsidRPr="00694A0F" w:rsidRDefault="0009099A" w:rsidP="009C50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="00D67F4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314.74 </w:t>
      </w:r>
    </w:p>
    <w:p w14:paraId="73841090" w14:textId="4B8FB733" w:rsidR="0009099A" w:rsidRPr="00694A0F" w:rsidRDefault="005D52BF" w:rsidP="009C508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КАЛІНІНА Світлана Петрівна, </w:t>
      </w:r>
      <w:r w:rsid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октор </w:t>
      </w: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кономічних </w:t>
      </w: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аук</w:t>
      </w: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, професор</w:t>
      </w:r>
      <w:r w:rsid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14:paraId="74896E2F" w14:textId="77777777" w:rsidR="003736AF" w:rsidRDefault="003736AF" w:rsidP="009C508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Маріупольський державний університет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(м. Київ),</w:t>
      </w:r>
    </w:p>
    <w:p w14:paraId="656EFBDA" w14:textId="1A709064" w:rsidR="00545B15" w:rsidRPr="003736AF" w:rsidRDefault="00694A0F" w:rsidP="009C508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авідувач кафедри економіки праці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6BC16AE4" w14:textId="61911DB5" w:rsidR="009437D1" w:rsidRPr="00694A0F" w:rsidRDefault="009437D1" w:rsidP="009C50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ІНТЕЛЕКТУАЛЬНА МІГРАЦІЯ ЯК ВАЖІЛЬ ІННОВАТИЗАЦІЇ ЕКОНОМІКИ</w:t>
      </w:r>
      <w:r w:rsidR="002031D7"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</w:t>
      </w:r>
      <w:r w:rsidR="003736AF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  <w:r w:rsidR="002031D7" w:rsidRPr="00694A0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УМОВАХ ГЛОБАЛІЗАЦІЇ</w:t>
      </w:r>
    </w:p>
    <w:p w14:paraId="69EB0FF0" w14:textId="77777777" w:rsidR="00B96ABD" w:rsidRPr="00694A0F" w:rsidRDefault="00B96ABD" w:rsidP="009C50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29863" w14:textId="6EA7628C" w:rsidR="00944C7A" w:rsidRPr="009C508A" w:rsidRDefault="009E1AEE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>В умовах глобального дефіциту робочої сили р</w:t>
      </w:r>
      <w:r w:rsidR="00944C7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езультативність трудоресурсного забезпечення виступає 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найважливішим фактором </w:t>
      </w:r>
      <w:r w:rsidR="002031D7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944C7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на всіх рівнях</w:t>
      </w: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787D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даному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контексті особливу роль </w:t>
      </w:r>
      <w:r w:rsidR="00B96ABD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у формуванні міжнародної конкурентоспроможності країн 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>відіграють міграційні процеси, пов’язані</w:t>
      </w:r>
      <w:r w:rsidR="002031D7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B15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944C7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залученням </w:t>
      </w:r>
      <w:r w:rsidR="000E3D5C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ззовні </w:t>
      </w:r>
      <w:r w:rsidR="00944C7A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необхідної кваліфікації.   </w:t>
      </w:r>
    </w:p>
    <w:p w14:paraId="643E169E" w14:textId="18E01DBD" w:rsidR="00214FEE" w:rsidRPr="009C508A" w:rsidRDefault="005143D3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508A">
        <w:rPr>
          <w:rFonts w:ascii="Times New Roman" w:hAnsi="Times New Roman" w:cs="Times New Roman"/>
          <w:sz w:val="24"/>
          <w:szCs w:val="24"/>
          <w:lang w:val="uk-UA"/>
        </w:rPr>
        <w:t>Хоча проблемне поле розвитку міграційних процесів є вкрай широким,</w:t>
      </w:r>
      <w:r w:rsidR="00B96ABD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у ньому </w:t>
      </w:r>
      <w:r w:rsidR="009A37D4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особливим чином </w:t>
      </w:r>
      <w:r w:rsidRPr="009C508A">
        <w:rPr>
          <w:rFonts w:ascii="Times New Roman" w:hAnsi="Times New Roman" w:cs="Times New Roman"/>
          <w:sz w:val="24"/>
          <w:szCs w:val="24"/>
          <w:lang w:val="uk-UA"/>
        </w:rPr>
        <w:t>виокремлюється питання «відтоку мізків» як явища, яке може спричинити значні складнощі для</w:t>
      </w:r>
      <w:r w:rsidR="00D832FF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099A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інноваційного </w:t>
      </w:r>
      <w:r w:rsidRPr="009C508A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D832FF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 країн</w:t>
      </w:r>
      <w:r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FEE" w:rsidRPr="009C508A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800CF" w:rsidRPr="009C50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14FEE" w:rsidRPr="009C508A">
        <w:rPr>
          <w:rFonts w:ascii="Times New Roman" w:hAnsi="Times New Roman" w:cs="Times New Roman"/>
          <w:sz w:val="24"/>
          <w:szCs w:val="24"/>
          <w:lang w:val="uk-UA"/>
        </w:rPr>
        <w:t>, с.3]</w:t>
      </w:r>
      <w:r w:rsidR="00A55CC6" w:rsidRPr="009C50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4FEE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 Так, на сьогодні на світовому ринку праці спостерігаються дві глобальні тенденції: </w:t>
      </w:r>
    </w:p>
    <w:p w14:paraId="6F2DEEDE" w14:textId="659D4ED7" w:rsidR="00214FEE" w:rsidRPr="00694A0F" w:rsidRDefault="00F85453" w:rsidP="009C508A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508A">
        <w:rPr>
          <w:rFonts w:ascii="Times New Roman" w:hAnsi="Times New Roman" w:cs="Times New Roman"/>
          <w:sz w:val="24"/>
          <w:szCs w:val="24"/>
          <w:lang w:val="uk-UA"/>
        </w:rPr>
        <w:t>зростає частка мігрантів, що мають вищу освіту</w:t>
      </w:r>
      <w:r w:rsidR="0087787D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4FEE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як відображення </w:t>
      </w:r>
      <w:r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</w:t>
      </w:r>
      <w:r w:rsidR="00214FEE" w:rsidRPr="009C508A">
        <w:rPr>
          <w:rFonts w:ascii="Times New Roman" w:hAnsi="Times New Roman" w:cs="Times New Roman"/>
          <w:sz w:val="24"/>
          <w:szCs w:val="24"/>
          <w:lang w:val="uk-UA"/>
        </w:rPr>
        <w:t xml:space="preserve">глобального попиту на висококваліфіковану робочу силу, </w:t>
      </w:r>
      <w:r w:rsidR="00D440B6" w:rsidRPr="009C508A">
        <w:rPr>
          <w:rFonts w:ascii="Times New Roman" w:hAnsi="Times New Roman" w:cs="Times New Roman"/>
          <w:sz w:val="24"/>
          <w:szCs w:val="24"/>
          <w:lang w:val="uk-UA"/>
        </w:rPr>
        <w:t>здатну продукувати</w:t>
      </w:r>
      <w:r w:rsidR="00D440B6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інновації;</w:t>
      </w:r>
    </w:p>
    <w:p w14:paraId="640B9A67" w14:textId="33A3D68A" w:rsidR="00214FEE" w:rsidRPr="00694A0F" w:rsidRDefault="0087787D" w:rsidP="009C508A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зростає </w:t>
      </w:r>
      <w:r w:rsidR="00214FEE" w:rsidRPr="00694A0F">
        <w:rPr>
          <w:rFonts w:ascii="Times New Roman" w:hAnsi="Times New Roman" w:cs="Times New Roman"/>
          <w:sz w:val="24"/>
          <w:szCs w:val="24"/>
          <w:lang w:val="uk-UA"/>
        </w:rPr>
        <w:t>попит на вчених та інші категорії високоінтелектуальної робочої сили</w:t>
      </w: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4FEE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з боку розвинутих країн, </w:t>
      </w:r>
      <w:r w:rsidR="0009099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водночас </w:t>
      </w:r>
      <w:r w:rsidR="00F85453" w:rsidRPr="00694A0F">
        <w:rPr>
          <w:rFonts w:ascii="Times New Roman" w:hAnsi="Times New Roman" w:cs="Times New Roman"/>
          <w:sz w:val="24"/>
          <w:szCs w:val="24"/>
          <w:lang w:val="uk-UA"/>
        </w:rPr>
        <w:t>ступінь доступності</w:t>
      </w:r>
      <w:r w:rsidR="00214FEE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категорій працівників зменшується,</w:t>
      </w:r>
      <w:r w:rsidR="00F85453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що посилює конкуренцію між країнами за залучення інтелектуального ресурсу.    </w:t>
      </w:r>
      <w:r w:rsidR="00214FEE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4FC9A9" w14:textId="77777777" w:rsidR="00A148B4" w:rsidRPr="00A55CC6" w:rsidRDefault="00A148B4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</w:t>
      </w:r>
      <w:r w:rsidRPr="00A55CC6">
        <w:rPr>
          <w:rFonts w:ascii="Times New Roman" w:hAnsi="Times New Roman" w:cs="Times New Roman"/>
          <w:sz w:val="24"/>
          <w:szCs w:val="24"/>
          <w:lang w:val="uk-UA"/>
        </w:rPr>
        <w:t xml:space="preserve">що дана тенденція збережеться. Зокрема, за прогнозними оцінками, в Європі до 2030 р. попит на висококваліфіковану робочу силу зростатиме, на відміну від інших категорій  працівників (таблиця 1). </w:t>
      </w:r>
    </w:p>
    <w:p w14:paraId="637FAA4F" w14:textId="77777777" w:rsidR="00A148B4" w:rsidRPr="00B152CF" w:rsidRDefault="00A148B4" w:rsidP="009C508A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52C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Таблиця 1</w:t>
      </w:r>
    </w:p>
    <w:p w14:paraId="000B7587" w14:textId="58BEB361" w:rsidR="00B774F0" w:rsidRPr="00B152CF" w:rsidRDefault="00A148B4" w:rsidP="009C508A">
      <w:pPr>
        <w:spacing w:after="0" w:line="276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Прогнозований попит на працівників за рівнем кваліфікації в Європі до 2030 р.</w:t>
      </w:r>
      <w:r w:rsidR="00B774F0" w:rsidRP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br/>
      </w:r>
      <w:r w:rsidR="00182009" w:rsidRP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(ЄС-28 +</w:t>
      </w:r>
      <w:r w:rsidR="009D7EE9" w:rsidRP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182009" w:rsidRPr="00B152C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3) </w:t>
      </w:r>
      <w:r w:rsidR="00B774F0" w:rsidRPr="00B152CF">
        <w:rPr>
          <w:rFonts w:ascii="Times New Roman" w:hAnsi="Times New Roman" w:cs="Times New Roman"/>
          <w:spacing w:val="-4"/>
          <w:sz w:val="24"/>
          <w:szCs w:val="24"/>
          <w:lang w:val="uk-UA"/>
        </w:rPr>
        <w:t>[</w:t>
      </w:r>
      <w:r w:rsidR="004800CF" w:rsidRPr="00B152CF">
        <w:rPr>
          <w:rFonts w:ascii="Times New Roman" w:hAnsi="Times New Roman" w:cs="Times New Roman"/>
          <w:spacing w:val="-4"/>
          <w:sz w:val="24"/>
          <w:szCs w:val="24"/>
          <w:lang w:val="ru-RU"/>
        </w:rPr>
        <w:t>6</w:t>
      </w:r>
      <w:r w:rsidR="00B774F0" w:rsidRPr="00B152C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с. </w:t>
      </w:r>
      <w:r w:rsidR="00B774F0" w:rsidRPr="00B152CF">
        <w:rPr>
          <w:rFonts w:ascii="Times New Roman" w:hAnsi="Times New Roman" w:cs="Times New Roman"/>
          <w:spacing w:val="-4"/>
          <w:sz w:val="24"/>
          <w:szCs w:val="24"/>
          <w:lang w:val="ru-RU"/>
        </w:rPr>
        <w:t>67</w:t>
      </w:r>
      <w:r w:rsidR="00B774F0" w:rsidRPr="00B152CF">
        <w:rPr>
          <w:rFonts w:ascii="Times New Roman" w:hAnsi="Times New Roman" w:cs="Times New Roman"/>
          <w:spacing w:val="-4"/>
          <w:sz w:val="24"/>
          <w:szCs w:val="24"/>
          <w:lang w:val="uk-UA"/>
        </w:rPr>
        <w:t>]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4"/>
        <w:gridCol w:w="1134"/>
        <w:gridCol w:w="1127"/>
      </w:tblGrid>
      <w:tr w:rsidR="00B774F0" w:rsidRPr="00B152CF" w14:paraId="37E0D4F1" w14:textId="77777777" w:rsidTr="00A50E12">
        <w:tc>
          <w:tcPr>
            <w:tcW w:w="2836" w:type="dxa"/>
            <w:vMerge w:val="restart"/>
          </w:tcPr>
          <w:p w14:paraId="249E0E14" w14:textId="0BEE3505" w:rsidR="00DC5C94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Рівень кваліфікації </w:t>
            </w:r>
          </w:p>
          <w:p w14:paraId="14437B21" w14:textId="31805DDF" w:rsidR="00B774F0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робочої сили</w:t>
            </w:r>
          </w:p>
        </w:tc>
        <w:tc>
          <w:tcPr>
            <w:tcW w:w="3402" w:type="dxa"/>
            <w:gridSpan w:val="3"/>
          </w:tcPr>
          <w:p w14:paraId="1D8ED0A9" w14:textId="42551B40" w:rsidR="00B774F0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Тис. осіб</w:t>
            </w:r>
          </w:p>
        </w:tc>
        <w:tc>
          <w:tcPr>
            <w:tcW w:w="3395" w:type="dxa"/>
            <w:gridSpan w:val="3"/>
          </w:tcPr>
          <w:p w14:paraId="240D9383" w14:textId="3CDE6222" w:rsidR="00B774F0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Відсоток</w:t>
            </w:r>
          </w:p>
        </w:tc>
      </w:tr>
      <w:tr w:rsidR="00DC5C94" w:rsidRPr="00B152CF" w14:paraId="3A7267FF" w14:textId="77777777" w:rsidTr="00A50E12">
        <w:tc>
          <w:tcPr>
            <w:tcW w:w="2836" w:type="dxa"/>
            <w:vMerge/>
          </w:tcPr>
          <w:p w14:paraId="4755FEE9" w14:textId="77777777" w:rsidR="00B774F0" w:rsidRPr="00B152CF" w:rsidRDefault="00B774F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92116EC" w14:textId="3BD4A7B8" w:rsidR="00B774F0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1134" w:type="dxa"/>
          </w:tcPr>
          <w:p w14:paraId="15793341" w14:textId="3B0BF63F" w:rsidR="00B774F0" w:rsidRPr="00B152CF" w:rsidRDefault="00162EA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1134" w:type="dxa"/>
          </w:tcPr>
          <w:p w14:paraId="65AFFE15" w14:textId="1FE0A426" w:rsidR="00B774F0" w:rsidRPr="00B152CF" w:rsidRDefault="00162EA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2030 р. </w:t>
            </w:r>
          </w:p>
        </w:tc>
        <w:tc>
          <w:tcPr>
            <w:tcW w:w="1134" w:type="dxa"/>
          </w:tcPr>
          <w:p w14:paraId="2BB351AF" w14:textId="216D91E6" w:rsidR="00B774F0" w:rsidRPr="00B152CF" w:rsidRDefault="00B774F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1134" w:type="dxa"/>
          </w:tcPr>
          <w:p w14:paraId="19516930" w14:textId="1F219E80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1127" w:type="dxa"/>
          </w:tcPr>
          <w:p w14:paraId="633D1C45" w14:textId="688CBB92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2030 р.</w:t>
            </w:r>
          </w:p>
        </w:tc>
      </w:tr>
      <w:tr w:rsidR="00DC5C94" w:rsidRPr="00B152CF" w14:paraId="2A6F98A0" w14:textId="77777777" w:rsidTr="00A50E12">
        <w:tc>
          <w:tcPr>
            <w:tcW w:w="2836" w:type="dxa"/>
          </w:tcPr>
          <w:p w14:paraId="520C6ED0" w14:textId="17292E4D" w:rsidR="00B774F0" w:rsidRPr="00B152CF" w:rsidRDefault="00DC5C94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Низька кваліфікація</w:t>
            </w:r>
          </w:p>
        </w:tc>
        <w:tc>
          <w:tcPr>
            <w:tcW w:w="1134" w:type="dxa"/>
          </w:tcPr>
          <w:p w14:paraId="4203FED9" w14:textId="4518B7A3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46690</w:t>
            </w:r>
          </w:p>
        </w:tc>
        <w:tc>
          <w:tcPr>
            <w:tcW w:w="1134" w:type="dxa"/>
          </w:tcPr>
          <w:p w14:paraId="2E54AA24" w14:textId="4B7B14A6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41 483</w:t>
            </w:r>
          </w:p>
        </w:tc>
        <w:tc>
          <w:tcPr>
            <w:tcW w:w="1134" w:type="dxa"/>
          </w:tcPr>
          <w:p w14:paraId="011002B8" w14:textId="3B6B84D5" w:rsidR="00B774F0" w:rsidRPr="00B152CF" w:rsidRDefault="00162EA4" w:rsidP="009C508A">
            <w:pPr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37 477</w:t>
            </w:r>
          </w:p>
        </w:tc>
        <w:tc>
          <w:tcPr>
            <w:tcW w:w="1134" w:type="dxa"/>
          </w:tcPr>
          <w:p w14:paraId="5E4505F0" w14:textId="1BB1CFDD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134" w:type="dxa"/>
          </w:tcPr>
          <w:p w14:paraId="1901B1C4" w14:textId="6FA44E65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1127" w:type="dxa"/>
          </w:tcPr>
          <w:p w14:paraId="710D6885" w14:textId="1E6E8F49" w:rsidR="00B774F0" w:rsidRPr="00B152CF" w:rsidRDefault="005D52BF" w:rsidP="009C508A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</w:tr>
      <w:tr w:rsidR="00DC5C94" w:rsidRPr="00B152CF" w14:paraId="650606A0" w14:textId="77777777" w:rsidTr="00A50E12">
        <w:tc>
          <w:tcPr>
            <w:tcW w:w="2836" w:type="dxa"/>
          </w:tcPr>
          <w:p w14:paraId="163EF198" w14:textId="40E5BF58" w:rsidR="00B774F0" w:rsidRPr="00B152CF" w:rsidRDefault="00DC5C94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кваліфікація</w:t>
            </w:r>
          </w:p>
        </w:tc>
        <w:tc>
          <w:tcPr>
            <w:tcW w:w="1134" w:type="dxa"/>
          </w:tcPr>
          <w:p w14:paraId="07C701EE" w14:textId="2B62C1F9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120 373</w:t>
            </w:r>
          </w:p>
        </w:tc>
        <w:tc>
          <w:tcPr>
            <w:tcW w:w="1134" w:type="dxa"/>
          </w:tcPr>
          <w:p w14:paraId="78A1B34A" w14:textId="0B48A130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117 571 </w:t>
            </w:r>
          </w:p>
        </w:tc>
        <w:tc>
          <w:tcPr>
            <w:tcW w:w="1134" w:type="dxa"/>
          </w:tcPr>
          <w:p w14:paraId="6E68280C" w14:textId="19271434" w:rsidR="00B774F0" w:rsidRPr="00B152CF" w:rsidRDefault="00162EA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114 632</w:t>
            </w:r>
          </w:p>
        </w:tc>
        <w:tc>
          <w:tcPr>
            <w:tcW w:w="1134" w:type="dxa"/>
          </w:tcPr>
          <w:p w14:paraId="2CD55277" w14:textId="59BA0558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1134" w:type="dxa"/>
          </w:tcPr>
          <w:p w14:paraId="0EC96DAF" w14:textId="412B4EA7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25,8</w:t>
            </w:r>
          </w:p>
        </w:tc>
        <w:tc>
          <w:tcPr>
            <w:tcW w:w="1127" w:type="dxa"/>
          </w:tcPr>
          <w:p w14:paraId="60818CDE" w14:textId="50715361" w:rsidR="00B774F0" w:rsidRPr="00B152CF" w:rsidRDefault="005D52BF" w:rsidP="009C508A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DC5C94" w:rsidRPr="00694A0F" w14:paraId="2565304A" w14:textId="77777777" w:rsidTr="00A50E12">
        <w:tc>
          <w:tcPr>
            <w:tcW w:w="2836" w:type="dxa"/>
          </w:tcPr>
          <w:p w14:paraId="33390A22" w14:textId="0FA75ECE" w:rsidR="00B774F0" w:rsidRPr="00B152CF" w:rsidRDefault="00DC5C94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Висока кваліфікація</w:t>
            </w:r>
          </w:p>
        </w:tc>
        <w:tc>
          <w:tcPr>
            <w:tcW w:w="1134" w:type="dxa"/>
          </w:tcPr>
          <w:p w14:paraId="2E46844F" w14:textId="1180139A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88 247</w:t>
            </w:r>
          </w:p>
        </w:tc>
        <w:tc>
          <w:tcPr>
            <w:tcW w:w="1134" w:type="dxa"/>
          </w:tcPr>
          <w:p w14:paraId="624E88E3" w14:textId="2DE77D6F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96432</w:t>
            </w:r>
          </w:p>
        </w:tc>
        <w:tc>
          <w:tcPr>
            <w:tcW w:w="1134" w:type="dxa"/>
          </w:tcPr>
          <w:p w14:paraId="79E66386" w14:textId="7522845F" w:rsidR="00B774F0" w:rsidRPr="00B152CF" w:rsidRDefault="00162EA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103 124</w:t>
            </w:r>
          </w:p>
        </w:tc>
        <w:tc>
          <w:tcPr>
            <w:tcW w:w="1134" w:type="dxa"/>
          </w:tcPr>
          <w:p w14:paraId="1684FD93" w14:textId="1EB527D7" w:rsidR="00B774F0" w:rsidRPr="00B152CF" w:rsidRDefault="00DC5C94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1134" w:type="dxa"/>
          </w:tcPr>
          <w:p w14:paraId="0700A77A" w14:textId="4A3B08E1" w:rsidR="00B774F0" w:rsidRPr="00B152CF" w:rsidRDefault="005D52BF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21.2</w:t>
            </w:r>
          </w:p>
        </w:tc>
        <w:tc>
          <w:tcPr>
            <w:tcW w:w="1127" w:type="dxa"/>
          </w:tcPr>
          <w:p w14:paraId="3F25BA34" w14:textId="13293862" w:rsidR="00B774F0" w:rsidRPr="00694A0F" w:rsidRDefault="005D52BF" w:rsidP="009C508A">
            <w:pPr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</w:tr>
    </w:tbl>
    <w:p w14:paraId="4D9DC1FE" w14:textId="1CED65CD" w:rsidR="00D440B6" w:rsidRPr="00B152CF" w:rsidRDefault="008903DD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>В умовах глобалізації високоінтелектуальна робоча сила перетворюється на основний важіль інноваційного розвитку</w:t>
      </w:r>
      <w:r w:rsidR="00A148B4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9099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 даного аспекту є </w:t>
      </w:r>
      <w:r w:rsidR="0087787D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тим </w:t>
      </w:r>
      <w:r w:rsidR="0087787D"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більш </w:t>
      </w:r>
      <w:r w:rsidR="0009099A" w:rsidRPr="00B152CF">
        <w:rPr>
          <w:rFonts w:ascii="Times New Roman" w:hAnsi="Times New Roman" w:cs="Times New Roman"/>
          <w:sz w:val="24"/>
          <w:szCs w:val="24"/>
          <w:lang w:val="uk-UA"/>
        </w:rPr>
        <w:t>важливим</w:t>
      </w:r>
      <w:r w:rsidR="00A148B4" w:rsidRPr="00B152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787D"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5D52BF" w:rsidRPr="00B152CF">
        <w:rPr>
          <w:rFonts w:ascii="Times New Roman" w:hAnsi="Times New Roman" w:cs="Times New Roman"/>
          <w:sz w:val="24"/>
          <w:szCs w:val="24"/>
          <w:lang w:val="uk-UA"/>
        </w:rPr>
        <w:t>по-справжньому</w:t>
      </w:r>
      <w:r w:rsidR="0087787D"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 глобальний за масштабами ринок праці існує лише для невеликої частини </w:t>
      </w:r>
      <w:r w:rsidR="0004558F" w:rsidRPr="00B152CF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87787D"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, яка охоплює </w:t>
      </w:r>
      <w:r w:rsidR="003D52A8" w:rsidRPr="00B152CF">
        <w:rPr>
          <w:rFonts w:ascii="Times New Roman" w:hAnsi="Times New Roman" w:cs="Times New Roman"/>
          <w:sz w:val="24"/>
          <w:szCs w:val="24"/>
          <w:lang w:val="uk-UA"/>
        </w:rPr>
        <w:t>висококваліфікованих професіоналів сфери НДДКР, програмної та іншої інженерії тощо, які мігрують між вузлами глобальних мереж</w:t>
      </w:r>
      <w:r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4800CF" w:rsidRPr="00B152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152CF">
        <w:rPr>
          <w:rFonts w:ascii="Times New Roman" w:hAnsi="Times New Roman" w:cs="Times New Roman"/>
          <w:sz w:val="24"/>
          <w:szCs w:val="24"/>
          <w:lang w:val="uk-UA"/>
        </w:rPr>
        <w:t>, с. 155]</w:t>
      </w:r>
      <w:r w:rsidR="00B152CF" w:rsidRPr="00B152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87F210" w14:textId="29E75D8D" w:rsidR="0004558F" w:rsidRPr="00694A0F" w:rsidRDefault="0004558F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2CF">
        <w:rPr>
          <w:rFonts w:ascii="Times New Roman" w:hAnsi="Times New Roman" w:cs="Times New Roman"/>
          <w:sz w:val="24"/>
          <w:szCs w:val="24"/>
          <w:lang w:val="uk-UA"/>
        </w:rPr>
        <w:t>Важливість якісних параметрів робочої сили зумовлена тим, що ядром глобальної економічної системи стає нова економіка як технологічний і глобальний устрій, у якому роль головного виробничого ресурсу відіграють знання та інформація</w:t>
      </w:r>
      <w:r w:rsidR="00CA382A" w:rsidRPr="00B15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2CF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800CF" w:rsidRPr="00B152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152CF">
        <w:rPr>
          <w:rFonts w:ascii="Times New Roman" w:hAnsi="Times New Roman" w:cs="Times New Roman"/>
          <w:sz w:val="24"/>
          <w:szCs w:val="24"/>
          <w:lang w:val="uk-UA"/>
        </w:rPr>
        <w:t>, с. 105]</w:t>
      </w:r>
      <w:r w:rsidR="00CA382A" w:rsidRPr="00B152CF">
        <w:rPr>
          <w:rFonts w:ascii="Times New Roman" w:hAnsi="Times New Roman" w:cs="Times New Roman"/>
          <w:sz w:val="24"/>
          <w:szCs w:val="24"/>
          <w:lang w:val="uk-UA"/>
        </w:rPr>
        <w:t>: питома вага нових знань, що втілюються у продуктах економічної діяльності в розвинутих країнах</w:t>
      </w:r>
      <w:r w:rsidR="00CA382A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світу, </w:t>
      </w:r>
      <w:r w:rsidR="00CA382A" w:rsidRPr="00694A0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становить 70-85% ВВП, більше половини працівників у вказаних країнах зайняті інтелектуальною працею. </w:t>
      </w:r>
    </w:p>
    <w:p w14:paraId="15BA0377" w14:textId="58D5D5F1" w:rsidR="00D440B6" w:rsidRPr="00C417ED" w:rsidRDefault="00D440B6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При цьому </w:t>
      </w:r>
      <w:r w:rsidR="00B96ABD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міграційні </w:t>
      </w:r>
      <w:r w:rsidRPr="00694A0F">
        <w:rPr>
          <w:rFonts w:ascii="Times New Roman" w:hAnsi="Times New Roman" w:cs="Times New Roman"/>
          <w:sz w:val="24"/>
          <w:szCs w:val="24"/>
          <w:lang w:val="uk-UA"/>
        </w:rPr>
        <w:t>потоки висококваліфікованих фахівців мають різне спрямування. Крім стійкого потоку інтелектуальної міграції з держав з меншим рівнем економічного розвитку до розвинутих країн</w:t>
      </w:r>
      <w:r w:rsidR="00DB529B"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5CF" w:rsidRPr="00694A0F">
        <w:rPr>
          <w:rFonts w:ascii="Times New Roman" w:hAnsi="Times New Roman" w:cs="Times New Roman"/>
          <w:sz w:val="24"/>
          <w:szCs w:val="24"/>
          <w:lang w:val="uk-UA"/>
        </w:rPr>
        <w:t>(основними реципієнтами зазначеної категорії працівників є США, країни ЄС та ін.)</w:t>
      </w: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, існує значна за обсягом міграція фахівців між розвинутими країнами, а також потік 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мігрантів-професіоналів з розвинутих країн у країни, що розвиваються (за умови зацікавленості приймаючих країн, включаючи високий рівень доходу зазначеної категорії фахівців) [5, с.</w:t>
      </w:r>
      <w:r w:rsidR="00587ACB" w:rsidRPr="00C417E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158]</w:t>
      </w:r>
      <w:r w:rsidR="00587ACB" w:rsidRPr="00C417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235CF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Загалом утворюється складна ланцюгова система перетікання інтелектуального капіталу між країнами та відтворення останнього, причому найбільшу вигоду отримують США, які виступають найбільшим вигодоотримувачем від міжнародної інтелектуальної міграції. </w:t>
      </w:r>
    </w:p>
    <w:p w14:paraId="5A30656B" w14:textId="5CB5DB36" w:rsidR="00007CC0" w:rsidRPr="00C417ED" w:rsidRDefault="005143D3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Оцінка рівня відтоку інтелектуальних ресурсів у міжнародних порівняннях інтерпретується за допомогою Індексу відтоку мізків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flight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brain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drain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index</w:t>
      </w:r>
      <w:r w:rsidRPr="00C417ED">
        <w:rPr>
          <w:rFonts w:ascii="Times New Roman" w:hAnsi="Times New Roman" w:cs="Times New Roman"/>
          <w:i/>
          <w:iCs/>
          <w:sz w:val="24"/>
          <w:szCs w:val="24"/>
          <w:lang w:val="uk-UA"/>
        </w:rPr>
        <w:t>).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Слід констатувати, що Україна за цим показником знаходиться у несприятливій</w:t>
      </w:r>
      <w:r w:rsidR="009437D1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ситуації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(таблиця</w:t>
      </w:r>
      <w:r w:rsidR="00587ACB" w:rsidRPr="00C417E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148B4" w:rsidRPr="00C417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A382A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9099A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поряд з такими країнами, як Перу, Пакистан, Болівія, Ангола 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>(всього у рейтингу 177 країн)</w:t>
      </w:r>
      <w:r w:rsidR="0009099A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800CF" w:rsidRPr="00C417E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07CC0" w:rsidRPr="00C417ED">
        <w:rPr>
          <w:rFonts w:ascii="Times New Roman" w:hAnsi="Times New Roman" w:cs="Times New Roman"/>
          <w:sz w:val="24"/>
          <w:szCs w:val="24"/>
          <w:lang w:val="uk-UA"/>
        </w:rPr>
        <w:t>, с.4]</w:t>
      </w:r>
      <w:r w:rsidR="0009099A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, що є свідченням неспроможності </w:t>
      </w:r>
      <w:r w:rsidR="00D832FF" w:rsidRPr="00C417ED">
        <w:rPr>
          <w:rFonts w:ascii="Times New Roman" w:hAnsi="Times New Roman" w:cs="Times New Roman"/>
          <w:sz w:val="24"/>
          <w:szCs w:val="24"/>
          <w:lang w:val="uk-UA"/>
        </w:rPr>
        <w:t>держави</w:t>
      </w:r>
      <w:r w:rsidR="0009099A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належні умови реалізації трудового потенціалу для зазначеної категорії працівників. </w:t>
      </w:r>
    </w:p>
    <w:p w14:paraId="32FEC44A" w14:textId="070976B5" w:rsidR="00007CC0" w:rsidRPr="00C417ED" w:rsidRDefault="00007CC0" w:rsidP="009C508A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17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Таблиця </w:t>
      </w:r>
      <w:r w:rsidR="00A148B4" w:rsidRPr="00C417E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</w:p>
    <w:p w14:paraId="43659794" w14:textId="6E2ECF10" w:rsidR="00007CC0" w:rsidRPr="00694A0F" w:rsidRDefault="00007CC0" w:rsidP="009C508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17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Індекс відтоку мізків, 2022 р.* 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800CF" w:rsidRPr="00C417E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, с. 4]</w:t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2599"/>
        <w:gridCol w:w="2504"/>
        <w:gridCol w:w="2552"/>
      </w:tblGrid>
      <w:tr w:rsidR="00007CC0" w:rsidRPr="00694A0F" w14:paraId="52B584CB" w14:textId="77777777" w:rsidTr="00007CC0">
        <w:tc>
          <w:tcPr>
            <w:tcW w:w="2599" w:type="dxa"/>
          </w:tcPr>
          <w:p w14:paraId="3F59FB34" w14:textId="3779FFFC" w:rsidR="00007CC0" w:rsidRPr="00694A0F" w:rsidRDefault="00007CC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2504" w:type="dxa"/>
          </w:tcPr>
          <w:p w14:paraId="7A06DDFE" w14:textId="429FC7BA" w:rsidR="00007CC0" w:rsidRPr="00694A0F" w:rsidRDefault="00007CC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552" w:type="dxa"/>
          </w:tcPr>
          <w:p w14:paraId="747F4CE3" w14:textId="0B3DCE92" w:rsidR="00007CC0" w:rsidRPr="00694A0F" w:rsidRDefault="00007CC0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Оцінка</w:t>
            </w:r>
          </w:p>
        </w:tc>
      </w:tr>
      <w:tr w:rsidR="00007CC0" w:rsidRPr="00694A0F" w14:paraId="0EB4A23E" w14:textId="77777777" w:rsidTr="00007CC0">
        <w:tc>
          <w:tcPr>
            <w:tcW w:w="2599" w:type="dxa"/>
          </w:tcPr>
          <w:p w14:paraId="18B441FB" w14:textId="6D7252E3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Австралія</w:t>
            </w:r>
          </w:p>
        </w:tc>
        <w:tc>
          <w:tcPr>
            <w:tcW w:w="2504" w:type="dxa"/>
          </w:tcPr>
          <w:p w14:paraId="5653F2AE" w14:textId="6469AF4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552" w:type="dxa"/>
          </w:tcPr>
          <w:p w14:paraId="6D91D566" w14:textId="4B94A851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007CC0" w:rsidRPr="00694A0F" w14:paraId="2659D82D" w14:textId="77777777" w:rsidTr="00007CC0">
        <w:tc>
          <w:tcPr>
            <w:tcW w:w="2599" w:type="dxa"/>
          </w:tcPr>
          <w:p w14:paraId="42C0E57D" w14:textId="09FCBA58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Швеція</w:t>
            </w:r>
          </w:p>
        </w:tc>
        <w:tc>
          <w:tcPr>
            <w:tcW w:w="2504" w:type="dxa"/>
          </w:tcPr>
          <w:p w14:paraId="7D30B264" w14:textId="07A709A2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2552" w:type="dxa"/>
          </w:tcPr>
          <w:p w14:paraId="50389931" w14:textId="18D8249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</w:tr>
      <w:tr w:rsidR="00007CC0" w:rsidRPr="00694A0F" w14:paraId="24105316" w14:textId="77777777" w:rsidTr="00007CC0">
        <w:tc>
          <w:tcPr>
            <w:tcW w:w="2599" w:type="dxa"/>
          </w:tcPr>
          <w:p w14:paraId="5FC6F4FC" w14:textId="3715A193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Канада</w:t>
            </w:r>
          </w:p>
        </w:tc>
        <w:tc>
          <w:tcPr>
            <w:tcW w:w="2504" w:type="dxa"/>
          </w:tcPr>
          <w:p w14:paraId="6EB1620D" w14:textId="44983B2C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2552" w:type="dxa"/>
          </w:tcPr>
          <w:p w14:paraId="260B8C41" w14:textId="4D6FD174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007CC0" w:rsidRPr="00694A0F" w14:paraId="094ACD00" w14:textId="77777777" w:rsidTr="00007CC0">
        <w:tc>
          <w:tcPr>
            <w:tcW w:w="2599" w:type="dxa"/>
          </w:tcPr>
          <w:p w14:paraId="215032AF" w14:textId="72FF1A2E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Данія</w:t>
            </w:r>
          </w:p>
        </w:tc>
        <w:tc>
          <w:tcPr>
            <w:tcW w:w="2504" w:type="dxa"/>
          </w:tcPr>
          <w:p w14:paraId="1CB52630" w14:textId="297F1B8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2552" w:type="dxa"/>
          </w:tcPr>
          <w:p w14:paraId="6C86C545" w14:textId="1906730A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007CC0" w:rsidRPr="00694A0F" w14:paraId="13A9C7EC" w14:textId="77777777" w:rsidTr="00007CC0">
        <w:tc>
          <w:tcPr>
            <w:tcW w:w="2599" w:type="dxa"/>
          </w:tcPr>
          <w:p w14:paraId="15A71FE4" w14:textId="6D8D5B1A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Сінгапур</w:t>
            </w:r>
          </w:p>
        </w:tc>
        <w:tc>
          <w:tcPr>
            <w:tcW w:w="2504" w:type="dxa"/>
          </w:tcPr>
          <w:p w14:paraId="477F2BB8" w14:textId="53BE42A7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</w:t>
            </w:r>
          </w:p>
        </w:tc>
        <w:tc>
          <w:tcPr>
            <w:tcW w:w="2552" w:type="dxa"/>
          </w:tcPr>
          <w:p w14:paraId="74BD0D07" w14:textId="4853F2D0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</w:tr>
      <w:tr w:rsidR="00007CC0" w:rsidRPr="00694A0F" w14:paraId="3C1CBE13" w14:textId="77777777" w:rsidTr="00007CC0">
        <w:tc>
          <w:tcPr>
            <w:tcW w:w="2599" w:type="dxa"/>
          </w:tcPr>
          <w:p w14:paraId="73675E4E" w14:textId="6741D40D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Австрія</w:t>
            </w:r>
          </w:p>
        </w:tc>
        <w:tc>
          <w:tcPr>
            <w:tcW w:w="2504" w:type="dxa"/>
          </w:tcPr>
          <w:p w14:paraId="5F99D1AB" w14:textId="0F552E00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2552" w:type="dxa"/>
          </w:tcPr>
          <w:p w14:paraId="2B0D665D" w14:textId="314D69DD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</w:tr>
      <w:tr w:rsidR="00007CC0" w:rsidRPr="00694A0F" w14:paraId="3E62D792" w14:textId="77777777" w:rsidTr="00007CC0">
        <w:tc>
          <w:tcPr>
            <w:tcW w:w="2599" w:type="dxa"/>
          </w:tcPr>
          <w:p w14:paraId="35B4B2E6" w14:textId="716088F8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2504" w:type="dxa"/>
          </w:tcPr>
          <w:p w14:paraId="703FECC8" w14:textId="179398F9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2552" w:type="dxa"/>
          </w:tcPr>
          <w:p w14:paraId="5F6B9C95" w14:textId="70643EF8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</w:tr>
      <w:tr w:rsidR="00007CC0" w:rsidRPr="00694A0F" w14:paraId="7BA2FE4D" w14:textId="77777777" w:rsidTr="00007CC0">
        <w:tc>
          <w:tcPr>
            <w:tcW w:w="2599" w:type="dxa"/>
          </w:tcPr>
          <w:p w14:paraId="70F4D4E7" w14:textId="181250EE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Британія</w:t>
            </w:r>
          </w:p>
        </w:tc>
        <w:tc>
          <w:tcPr>
            <w:tcW w:w="2504" w:type="dxa"/>
          </w:tcPr>
          <w:p w14:paraId="7B988C17" w14:textId="58B429F2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2552" w:type="dxa"/>
          </w:tcPr>
          <w:p w14:paraId="26433708" w14:textId="20B82A0C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</w:tr>
      <w:tr w:rsidR="00007CC0" w:rsidRPr="00694A0F" w14:paraId="24C17A24" w14:textId="77777777" w:rsidTr="00007CC0">
        <w:tc>
          <w:tcPr>
            <w:tcW w:w="2599" w:type="dxa"/>
          </w:tcPr>
          <w:p w14:paraId="3702CC5B" w14:textId="51273547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Південна Корея</w:t>
            </w:r>
          </w:p>
        </w:tc>
        <w:tc>
          <w:tcPr>
            <w:tcW w:w="2504" w:type="dxa"/>
          </w:tcPr>
          <w:p w14:paraId="0166869F" w14:textId="4A70DFF9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2552" w:type="dxa"/>
          </w:tcPr>
          <w:p w14:paraId="554720C8" w14:textId="0FA298E7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</w:tc>
      </w:tr>
      <w:tr w:rsidR="00007CC0" w:rsidRPr="00694A0F" w14:paraId="0B65A00C" w14:textId="77777777" w:rsidTr="00007CC0">
        <w:tc>
          <w:tcPr>
            <w:tcW w:w="2599" w:type="dxa"/>
          </w:tcPr>
          <w:p w14:paraId="2D778215" w14:textId="0A6B75DA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2504" w:type="dxa"/>
          </w:tcPr>
          <w:p w14:paraId="5CC632A6" w14:textId="5B632DED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2552" w:type="dxa"/>
          </w:tcPr>
          <w:p w14:paraId="3A91EE09" w14:textId="6997E074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007CC0" w:rsidRPr="00694A0F" w14:paraId="04D7D6FD" w14:textId="77777777" w:rsidTr="00007CC0">
        <w:tc>
          <w:tcPr>
            <w:tcW w:w="2599" w:type="dxa"/>
          </w:tcPr>
          <w:p w14:paraId="54B9987E" w14:textId="6488A89E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Польща</w:t>
            </w:r>
          </w:p>
        </w:tc>
        <w:tc>
          <w:tcPr>
            <w:tcW w:w="2504" w:type="dxa"/>
          </w:tcPr>
          <w:p w14:paraId="6F1BF316" w14:textId="21D9BC9E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552" w:type="dxa"/>
          </w:tcPr>
          <w:p w14:paraId="1E49809D" w14:textId="3423036C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</w:tr>
      <w:tr w:rsidR="00007CC0" w:rsidRPr="00694A0F" w14:paraId="111DF8DE" w14:textId="77777777" w:rsidTr="00007CC0">
        <w:tc>
          <w:tcPr>
            <w:tcW w:w="2599" w:type="dxa"/>
          </w:tcPr>
          <w:p w14:paraId="675F541E" w14:textId="5EE320A1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04" w:type="dxa"/>
          </w:tcPr>
          <w:p w14:paraId="4F2AE32E" w14:textId="462572EC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81</w:t>
            </w:r>
          </w:p>
        </w:tc>
        <w:tc>
          <w:tcPr>
            <w:tcW w:w="2552" w:type="dxa"/>
          </w:tcPr>
          <w:p w14:paraId="3B5A4536" w14:textId="5626A81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5,9</w:t>
            </w:r>
          </w:p>
        </w:tc>
      </w:tr>
      <w:tr w:rsidR="00007CC0" w:rsidRPr="00694A0F" w14:paraId="5D85B3FC" w14:textId="77777777" w:rsidTr="00007CC0">
        <w:tc>
          <w:tcPr>
            <w:tcW w:w="2599" w:type="dxa"/>
          </w:tcPr>
          <w:p w14:paraId="45E124BB" w14:textId="7AE4407E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</w:t>
            </w:r>
          </w:p>
        </w:tc>
        <w:tc>
          <w:tcPr>
            <w:tcW w:w="2504" w:type="dxa"/>
          </w:tcPr>
          <w:p w14:paraId="694AE9BB" w14:textId="576C49C8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552" w:type="dxa"/>
          </w:tcPr>
          <w:p w14:paraId="79F595EE" w14:textId="4EB4E8FE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</w:t>
            </w:r>
          </w:p>
        </w:tc>
      </w:tr>
      <w:tr w:rsidR="00007CC0" w:rsidRPr="00694A0F" w14:paraId="5E8931D4" w14:textId="77777777" w:rsidTr="00007CC0">
        <w:tc>
          <w:tcPr>
            <w:tcW w:w="2599" w:type="dxa"/>
          </w:tcPr>
          <w:p w14:paraId="6D56B35E" w14:textId="138A3B2B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Пакистан</w:t>
            </w:r>
          </w:p>
        </w:tc>
        <w:tc>
          <w:tcPr>
            <w:tcW w:w="2504" w:type="dxa"/>
          </w:tcPr>
          <w:p w14:paraId="322C21C6" w14:textId="0164544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552" w:type="dxa"/>
          </w:tcPr>
          <w:p w14:paraId="62186FE3" w14:textId="2841BB04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</w:t>
            </w:r>
          </w:p>
        </w:tc>
      </w:tr>
      <w:tr w:rsidR="00007CC0" w:rsidRPr="00694A0F" w14:paraId="5051D4F6" w14:textId="77777777" w:rsidTr="00007CC0">
        <w:tc>
          <w:tcPr>
            <w:tcW w:w="2599" w:type="dxa"/>
          </w:tcPr>
          <w:p w14:paraId="50496E1A" w14:textId="7FBF914F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Болівія</w:t>
            </w:r>
          </w:p>
        </w:tc>
        <w:tc>
          <w:tcPr>
            <w:tcW w:w="2504" w:type="dxa"/>
          </w:tcPr>
          <w:p w14:paraId="2C11BE5A" w14:textId="144EE927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552" w:type="dxa"/>
          </w:tcPr>
          <w:p w14:paraId="3FC0538B" w14:textId="4050C4F5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</w:t>
            </w:r>
          </w:p>
        </w:tc>
      </w:tr>
      <w:tr w:rsidR="00007CC0" w:rsidRPr="00694A0F" w14:paraId="6494DF10" w14:textId="77777777" w:rsidTr="00007CC0">
        <w:tc>
          <w:tcPr>
            <w:tcW w:w="2599" w:type="dxa"/>
          </w:tcPr>
          <w:p w14:paraId="6E63B68F" w14:textId="639CB4A0" w:rsidR="00007CC0" w:rsidRPr="00694A0F" w:rsidRDefault="00007CC0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Ангола</w:t>
            </w:r>
          </w:p>
        </w:tc>
        <w:tc>
          <w:tcPr>
            <w:tcW w:w="2504" w:type="dxa"/>
          </w:tcPr>
          <w:p w14:paraId="025F79F3" w14:textId="3125A13D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552" w:type="dxa"/>
          </w:tcPr>
          <w:p w14:paraId="23D60545" w14:textId="39B10AE9" w:rsidR="00007CC0" w:rsidRPr="00694A0F" w:rsidRDefault="00BD69A1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</w:t>
            </w:r>
          </w:p>
        </w:tc>
      </w:tr>
    </w:tbl>
    <w:p w14:paraId="5A32B610" w14:textId="2E7A9B6A" w:rsidR="00007CC0" w:rsidRPr="00694A0F" w:rsidRDefault="00007CC0" w:rsidP="009C508A">
      <w:pPr>
        <w:spacing w:after="0" w:line="276" w:lineRule="auto"/>
        <w:ind w:left="567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 xml:space="preserve">* Шкала оцінки: 0-10, нижчому значенню відповідає менший рівень відтоку </w:t>
      </w:r>
    </w:p>
    <w:p w14:paraId="1207DA41" w14:textId="39298650" w:rsidR="00CA382A" w:rsidRPr="00C417ED" w:rsidRDefault="00A50E12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7ED">
        <w:rPr>
          <w:rFonts w:ascii="Times New Roman" w:hAnsi="Times New Roman" w:cs="Times New Roman"/>
          <w:sz w:val="24"/>
          <w:szCs w:val="24"/>
          <w:lang w:val="uk-UA"/>
        </w:rPr>
        <w:t>Забезпечення гідн</w:t>
      </w:r>
      <w:r w:rsidR="009D7EE9" w:rsidRPr="00C417ED">
        <w:rPr>
          <w:rFonts w:ascii="Times New Roman" w:hAnsi="Times New Roman" w:cs="Times New Roman"/>
          <w:sz w:val="24"/>
          <w:szCs w:val="24"/>
          <w:lang w:val="uk-UA"/>
        </w:rPr>
        <w:t>их умов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зайнятості виступає важливим чинником запобігання відтоку інтелекту з країни, зважаючи на взаємозв’язок між рівнем освіти і рівнем безробіття в країнах з різним рівнем економічного розвитку</w:t>
      </w:r>
      <w:r w:rsidR="007E7EA3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30039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в країнах з високим рівнем добробуту рівень безробіття серед висококваліфікованих </w:t>
      </w:r>
      <w:r w:rsidR="009D7EE9" w:rsidRPr="00C417ED">
        <w:rPr>
          <w:rFonts w:ascii="Times New Roman" w:hAnsi="Times New Roman" w:cs="Times New Roman"/>
          <w:sz w:val="24"/>
          <w:szCs w:val="24"/>
          <w:lang w:val="uk-UA"/>
        </w:rPr>
        <w:t>фахівців</w:t>
      </w:r>
      <w:r w:rsidR="00830039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є мінімальним, </w:t>
      </w:r>
      <w:r w:rsidR="009D7EE9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дещо вищим </w:t>
      </w:r>
      <w:r w:rsidR="007E7EA3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D7EE9" w:rsidRPr="00C417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7EA3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EE9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країнах</w:t>
      </w:r>
      <w:r w:rsidR="007E7EA3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з середнім рівнем добробуту, </w:t>
      </w:r>
      <w:r w:rsidR="00830039" w:rsidRPr="00C417ED">
        <w:rPr>
          <w:rFonts w:ascii="Times New Roman" w:hAnsi="Times New Roman" w:cs="Times New Roman"/>
          <w:sz w:val="24"/>
          <w:szCs w:val="24"/>
          <w:lang w:val="uk-UA"/>
        </w:rPr>
        <w:t>в країнах з низьким рівнем добробуту –</w:t>
      </w:r>
      <w:r w:rsidR="00705491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 найбільшим</w:t>
      </w:r>
      <w:r w:rsidR="00830039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E7EA3" w:rsidRPr="00C417ED">
        <w:rPr>
          <w:rFonts w:ascii="Times New Roman" w:hAnsi="Times New Roman" w:cs="Times New Roman"/>
          <w:sz w:val="24"/>
          <w:szCs w:val="24"/>
          <w:lang w:val="uk-UA"/>
        </w:rPr>
        <w:t xml:space="preserve">Всередині країн з високим рівнем добробуту ситуація також є на користь висококваліфікованої робочої сили (таблиця 3). </w:t>
      </w:r>
    </w:p>
    <w:p w14:paraId="1166D4B2" w14:textId="0283B24B" w:rsidR="00705491" w:rsidRPr="00020D91" w:rsidRDefault="00CA382A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7ED">
        <w:rPr>
          <w:rFonts w:ascii="Times New Roman" w:hAnsi="Times New Roman" w:cs="Times New Roman"/>
          <w:sz w:val="24"/>
          <w:szCs w:val="24"/>
          <w:lang w:val="uk-UA"/>
        </w:rPr>
        <w:lastRenderedPageBreak/>
        <w:t>Крім того, економічний ефект від припливу іммігрантів стає невідчутним уже в середньостроковій перспективі, оскільки зникають стимули для впровадження інновацій: дешева робоча сила потребує збереження дешевих, спрощених засобів виробництва, що гальмує економічну модернізацію приймаючих країн. [</w:t>
      </w:r>
      <w:r w:rsidR="004800CF" w:rsidRPr="00C417E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="00C417E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417ED">
        <w:rPr>
          <w:rFonts w:ascii="Times New Roman" w:hAnsi="Times New Roman" w:cs="Times New Roman"/>
          <w:sz w:val="24"/>
          <w:szCs w:val="24"/>
          <w:lang w:val="uk-UA"/>
        </w:rPr>
        <w:t>664</w:t>
      </w:r>
      <w:r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] Відповідно посилюється важливість залучення не просто іноземних працівників, а висококваліфікованої робочої сили, здатної до продукування інновацій, що виступає стимулюючим важелем розвитку інтелектуальної міграції в системі світового ринку праці.         </w:t>
      </w:r>
    </w:p>
    <w:p w14:paraId="1D142A86" w14:textId="38034C36" w:rsidR="00830039" w:rsidRPr="00020D91" w:rsidRDefault="00830039" w:rsidP="009C508A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46489276"/>
      <w:r w:rsidRPr="00020D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Таблиця </w:t>
      </w:r>
      <w:r w:rsidR="009D7EE9" w:rsidRPr="00020D9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</w:p>
    <w:p w14:paraId="29B01B64" w14:textId="115B9541" w:rsidR="00830039" w:rsidRPr="00694A0F" w:rsidRDefault="00182009" w:rsidP="009C508A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020D9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Рівень безробіття в залежності від </w:t>
      </w:r>
      <w:r w:rsidR="00830039" w:rsidRPr="00020D9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рівн</w:t>
      </w:r>
      <w:r w:rsidRPr="00020D9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я</w:t>
      </w:r>
      <w:r w:rsidR="00830039" w:rsidRPr="00020D9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кваліфікації в Європі до 2030 р. </w:t>
      </w:r>
      <w:r w:rsidRPr="00020D9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(ЄС-28 + 3) </w:t>
      </w:r>
      <w:r w:rsidR="00830039" w:rsidRPr="00020D91">
        <w:rPr>
          <w:rFonts w:ascii="Times New Roman" w:hAnsi="Times New Roman" w:cs="Times New Roman"/>
          <w:spacing w:val="-4"/>
          <w:sz w:val="24"/>
          <w:szCs w:val="24"/>
          <w:lang w:val="uk-UA"/>
        </w:rPr>
        <w:t>[</w:t>
      </w:r>
      <w:r w:rsidR="004800CF" w:rsidRPr="00020D91">
        <w:rPr>
          <w:rFonts w:ascii="Times New Roman" w:hAnsi="Times New Roman" w:cs="Times New Roman"/>
          <w:spacing w:val="-4"/>
          <w:sz w:val="24"/>
          <w:szCs w:val="24"/>
          <w:lang w:val="uk-UA"/>
        </w:rPr>
        <w:t>6</w:t>
      </w:r>
      <w:r w:rsidR="00830039" w:rsidRPr="00020D9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с. </w:t>
      </w:r>
      <w:r w:rsidR="009D7EE9" w:rsidRPr="00020D91">
        <w:rPr>
          <w:rFonts w:ascii="Times New Roman" w:hAnsi="Times New Roman" w:cs="Times New Roman"/>
          <w:spacing w:val="-4"/>
          <w:sz w:val="24"/>
          <w:szCs w:val="24"/>
          <w:lang w:val="uk-UA"/>
        </w:rPr>
        <w:t>76</w:t>
      </w:r>
      <w:r w:rsidR="00830039" w:rsidRPr="00020D91">
        <w:rPr>
          <w:rFonts w:ascii="Times New Roman" w:hAnsi="Times New Roman" w:cs="Times New Roman"/>
          <w:spacing w:val="-4"/>
          <w:sz w:val="24"/>
          <w:szCs w:val="24"/>
          <w:lang w:val="uk-UA"/>
        </w:rPr>
        <w:t>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82009" w:rsidRPr="00694A0F" w14:paraId="437BC52E" w14:textId="77777777" w:rsidTr="00182009">
        <w:tc>
          <w:tcPr>
            <w:tcW w:w="1925" w:type="dxa"/>
          </w:tcPr>
          <w:p w14:paraId="54F48B47" w14:textId="31B46041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Рівень кваліфікації</w:t>
            </w:r>
          </w:p>
        </w:tc>
        <w:tc>
          <w:tcPr>
            <w:tcW w:w="1925" w:type="dxa"/>
          </w:tcPr>
          <w:p w14:paraId="448FFE81" w14:textId="779FEA66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926" w:type="dxa"/>
          </w:tcPr>
          <w:p w14:paraId="6323814A" w14:textId="6467301F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2021 р.*</w:t>
            </w:r>
          </w:p>
        </w:tc>
        <w:tc>
          <w:tcPr>
            <w:tcW w:w="1926" w:type="dxa"/>
          </w:tcPr>
          <w:p w14:paraId="6423D955" w14:textId="65AE08E0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2026 р.*</w:t>
            </w:r>
          </w:p>
        </w:tc>
        <w:tc>
          <w:tcPr>
            <w:tcW w:w="1926" w:type="dxa"/>
          </w:tcPr>
          <w:p w14:paraId="4E558FD5" w14:textId="60975DA1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2030 р.*</w:t>
            </w:r>
          </w:p>
        </w:tc>
      </w:tr>
      <w:tr w:rsidR="00182009" w:rsidRPr="00694A0F" w14:paraId="514C0F3A" w14:textId="77777777" w:rsidTr="00182009">
        <w:tc>
          <w:tcPr>
            <w:tcW w:w="1925" w:type="dxa"/>
          </w:tcPr>
          <w:p w14:paraId="7E4857A4" w14:textId="633A669E" w:rsidR="00182009" w:rsidRPr="00694A0F" w:rsidRDefault="009D7EE9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1925" w:type="dxa"/>
          </w:tcPr>
          <w:p w14:paraId="385717EE" w14:textId="55EF2E96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926" w:type="dxa"/>
          </w:tcPr>
          <w:p w14:paraId="003DC7ED" w14:textId="2C1F48AA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</w:t>
            </w:r>
          </w:p>
        </w:tc>
        <w:tc>
          <w:tcPr>
            <w:tcW w:w="1926" w:type="dxa"/>
          </w:tcPr>
          <w:p w14:paraId="5D2B86FE" w14:textId="7E2F9EE9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926" w:type="dxa"/>
          </w:tcPr>
          <w:p w14:paraId="69E6AB71" w14:textId="388C7ADD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</w:tr>
      <w:tr w:rsidR="00182009" w:rsidRPr="00694A0F" w14:paraId="62409F14" w14:textId="77777777" w:rsidTr="00182009">
        <w:tc>
          <w:tcPr>
            <w:tcW w:w="1925" w:type="dxa"/>
          </w:tcPr>
          <w:p w14:paraId="6DF1039A" w14:textId="1446B170" w:rsidR="00182009" w:rsidRPr="00694A0F" w:rsidRDefault="009D7EE9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925" w:type="dxa"/>
          </w:tcPr>
          <w:p w14:paraId="52241B7D" w14:textId="4476754B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926" w:type="dxa"/>
          </w:tcPr>
          <w:p w14:paraId="4E3F5DA8" w14:textId="085847F2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1926" w:type="dxa"/>
          </w:tcPr>
          <w:p w14:paraId="6FF8C84D" w14:textId="25070F55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1926" w:type="dxa"/>
          </w:tcPr>
          <w:p w14:paraId="36291CBF" w14:textId="69ABD0DD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182009" w:rsidRPr="00694A0F" w14:paraId="6CDEBE3E" w14:textId="77777777" w:rsidTr="00182009">
        <w:tc>
          <w:tcPr>
            <w:tcW w:w="1925" w:type="dxa"/>
          </w:tcPr>
          <w:p w14:paraId="6423BE58" w14:textId="39795817" w:rsidR="00182009" w:rsidRPr="00694A0F" w:rsidRDefault="009D7EE9" w:rsidP="009C5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925" w:type="dxa"/>
          </w:tcPr>
          <w:p w14:paraId="4A4A2E61" w14:textId="4A623DB2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1926" w:type="dxa"/>
          </w:tcPr>
          <w:p w14:paraId="1AE2151C" w14:textId="512B86FE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</w:t>
            </w:r>
          </w:p>
        </w:tc>
        <w:tc>
          <w:tcPr>
            <w:tcW w:w="1926" w:type="dxa"/>
          </w:tcPr>
          <w:p w14:paraId="6E508CCA" w14:textId="614733BD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1926" w:type="dxa"/>
          </w:tcPr>
          <w:p w14:paraId="23361560" w14:textId="3364EAD0" w:rsidR="00182009" w:rsidRPr="00694A0F" w:rsidRDefault="009D7EE9" w:rsidP="009C5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</w:tr>
    </w:tbl>
    <w:p w14:paraId="3CAD96EC" w14:textId="11EAF85E" w:rsidR="00007CC0" w:rsidRPr="00694A0F" w:rsidRDefault="009D7EE9" w:rsidP="009C50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0F">
        <w:rPr>
          <w:rFonts w:ascii="Times New Roman" w:hAnsi="Times New Roman" w:cs="Times New Roman"/>
          <w:sz w:val="24"/>
          <w:szCs w:val="24"/>
          <w:lang w:val="uk-UA"/>
        </w:rPr>
        <w:t>* Прогнозні дані</w:t>
      </w:r>
    </w:p>
    <w:bookmarkEnd w:id="0"/>
    <w:p w14:paraId="24F15A34" w14:textId="007DE2DC" w:rsidR="00545B15" w:rsidRPr="00020D91" w:rsidRDefault="009A37D4" w:rsidP="009C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Слід враховувати, що доступ іноземців до національного ринку праці часто породжує </w:t>
      </w:r>
      <w:r w:rsidR="00B96ABD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0D91">
        <w:rPr>
          <w:rFonts w:ascii="Times New Roman" w:hAnsi="Times New Roman" w:cs="Times New Roman"/>
          <w:sz w:val="24"/>
          <w:szCs w:val="24"/>
          <w:lang w:val="uk-UA"/>
        </w:rPr>
        <w:t>суттєві гуманітарні, соціальні</w:t>
      </w:r>
      <w:r w:rsidR="00D160F4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020D91">
        <w:rPr>
          <w:rFonts w:ascii="Times New Roman" w:hAnsi="Times New Roman" w:cs="Times New Roman"/>
          <w:sz w:val="24"/>
          <w:szCs w:val="24"/>
          <w:lang w:val="uk-UA"/>
        </w:rPr>
        <w:t>психологічні суперечності</w:t>
      </w:r>
      <w:r w:rsidR="00D160F4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, що зумовлює </w:t>
      </w:r>
      <w:r w:rsidRPr="00020D91">
        <w:rPr>
          <w:rFonts w:ascii="Times New Roman" w:hAnsi="Times New Roman" w:cs="Times New Roman"/>
          <w:sz w:val="24"/>
          <w:szCs w:val="24"/>
          <w:lang w:val="uk-UA"/>
        </w:rPr>
        <w:t>важливість завчасної підготовки законодавчої та інституційної основи для залучення іноземців до зайнятості в приймаючих країнах. [</w:t>
      </w:r>
      <w:r w:rsidR="004800CF" w:rsidRPr="00020D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, с. 12] </w:t>
      </w:r>
      <w:r w:rsidR="00A75FA9" w:rsidRPr="00020D91">
        <w:rPr>
          <w:rFonts w:ascii="Times New Roman" w:hAnsi="Times New Roman" w:cs="Times New Roman"/>
          <w:sz w:val="24"/>
          <w:szCs w:val="24"/>
          <w:lang w:val="uk-UA"/>
        </w:rPr>
        <w:t>Таким чином, для успішного залучення працівників з інших країн Україні заздалегідь слід сформувати продуману міграційну політику, яка б включала дотримання міжнародних стандартів у сфері міграції, міжнародного захисту, працевлаштування та інтеграції</w:t>
      </w:r>
      <w:r w:rsidR="00360435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5FA9" w:rsidRPr="00020D9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800CF" w:rsidRPr="00020D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75FA9" w:rsidRPr="00020D91">
        <w:rPr>
          <w:rFonts w:ascii="Times New Roman" w:hAnsi="Times New Roman" w:cs="Times New Roman"/>
          <w:sz w:val="24"/>
          <w:szCs w:val="24"/>
          <w:lang w:val="uk-UA"/>
        </w:rPr>
        <w:t>, с. 13]</w:t>
      </w:r>
      <w:r w:rsidR="00360435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, і одночасно враховувала необхідність створення сприятливих умов для використання власної високоінтелектуальної робочої сили. </w:t>
      </w:r>
      <w:r w:rsidR="004800CF" w:rsidRPr="00020D91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D160F4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країна має виробити таку міграційну політику, щоб міграція виступала засобом прирощення трудового потенціалу. </w:t>
      </w:r>
      <w:r w:rsidR="00360435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75FA9" w:rsidRPr="00020D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B0739E7" w14:textId="77777777" w:rsidR="006A743B" w:rsidRDefault="006A743B" w:rsidP="009C508A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13CDB8C" w14:textId="4EF7FF3A" w:rsidR="00CE639D" w:rsidRPr="00CE639D" w:rsidRDefault="00CE639D" w:rsidP="009C508A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0D91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літератури:</w:t>
      </w:r>
    </w:p>
    <w:p w14:paraId="5383D5B4" w14:textId="201DC5E0" w:rsidR="004800CF" w:rsidRPr="00EB42D2" w:rsidRDefault="004800CF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Безпалько Ю.Ю., Шаповал К.О., Наконечна Д.О. Реформа міграційної політики в ЄС: вплив на європейську ідентичність та міжкультурну гармонію. </w:t>
      </w:r>
      <w:r w:rsidRPr="00EB42D2">
        <w:rPr>
          <w:rFonts w:ascii="Times New Roman" w:hAnsi="Times New Roman" w:cs="Times New Roman"/>
          <w:i/>
          <w:iCs/>
          <w:sz w:val="24"/>
          <w:szCs w:val="24"/>
          <w:lang w:val="uk-UA"/>
        </w:rPr>
        <w:t>Юридичний науковий електронний журнал.</w:t>
      </w: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№4, 2023. С. 661-665. </w:t>
      </w:r>
      <w:r w:rsidRPr="00EB4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B42D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EB42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http://www.lsej.org.ua/4_2023/159.pdf</w:t>
        </w:r>
      </w:hyperlink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709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13EEDD" w14:textId="45D28CC6" w:rsidR="004800CF" w:rsidRPr="00EB42D2" w:rsidRDefault="004800CF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Калініна С.П., </w:t>
      </w:r>
      <w:proofErr w:type="spellStart"/>
      <w:r w:rsidRPr="00EB42D2">
        <w:rPr>
          <w:rFonts w:ascii="Times New Roman" w:hAnsi="Times New Roman" w:cs="Times New Roman"/>
          <w:sz w:val="24"/>
          <w:szCs w:val="24"/>
          <w:lang w:val="uk-UA"/>
        </w:rPr>
        <w:t>Михайлишин</w:t>
      </w:r>
      <w:proofErr w:type="spellEnd"/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Л.І., </w:t>
      </w:r>
      <w:proofErr w:type="spellStart"/>
      <w:r w:rsidRPr="00EB42D2">
        <w:rPr>
          <w:rFonts w:ascii="Times New Roman" w:hAnsi="Times New Roman" w:cs="Times New Roman"/>
          <w:sz w:val="24"/>
          <w:szCs w:val="24"/>
          <w:lang w:val="uk-UA"/>
        </w:rPr>
        <w:t>Коровчук</w:t>
      </w:r>
      <w:proofErr w:type="spellEnd"/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Ю.І., Савченко Е.О. Трансформація </w:t>
      </w:r>
      <w:proofErr w:type="spellStart"/>
      <w:r w:rsidRPr="00EB42D2">
        <w:rPr>
          <w:rFonts w:ascii="Times New Roman" w:hAnsi="Times New Roman" w:cs="Times New Roman"/>
          <w:sz w:val="24"/>
          <w:szCs w:val="24"/>
          <w:lang w:val="uk-UA"/>
        </w:rPr>
        <w:t>трудоресурного</w:t>
      </w:r>
      <w:proofErr w:type="spellEnd"/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світової економіки: глобалізаційний дискурс. Вінниця: ТВОРИ, 2021. 256 с.     </w:t>
      </w:r>
      <w:r w:rsidR="00277709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0B6F7F" w14:textId="7F040B62" w:rsidR="004800CF" w:rsidRPr="00EB42D2" w:rsidRDefault="004800CF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Лукьяненко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Д.Г., Поручник А.М.,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Колот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А.М. та ін. Глобальна економіка ХХІ століття: людський вимір монографія. Київ: КНЕУ, 2008. 420 с.  </w:t>
      </w:r>
      <w:r w:rsidR="00277709"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</w:t>
      </w:r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  </w:t>
      </w:r>
    </w:p>
    <w:p w14:paraId="0B4B28BF" w14:textId="7CBEF84D" w:rsidR="0050677B" w:rsidRPr="00EB42D2" w:rsidRDefault="00545B15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Міграційні прояви та впливи – уроки для України. Аналітична доповідь. Травень 2023. </w:t>
      </w:r>
      <w:proofErr w:type="spellStart"/>
      <w:r w:rsidRPr="00EB42D2">
        <w:rPr>
          <w:rFonts w:ascii="Times New Roman" w:hAnsi="Times New Roman" w:cs="Times New Roman"/>
          <w:sz w:val="24"/>
          <w:szCs w:val="24"/>
          <w:lang w:val="en-US"/>
        </w:rPr>
        <w:t>Razumkov</w:t>
      </w:r>
      <w:proofErr w:type="spellEnd"/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42D2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EB42D2">
        <w:rPr>
          <w:rFonts w:ascii="Times New Roman" w:hAnsi="Times New Roman" w:cs="Times New Roman"/>
          <w:sz w:val="24"/>
          <w:szCs w:val="24"/>
          <w:lang w:val="en-US"/>
        </w:rPr>
        <w:t>, 2023. 13</w:t>
      </w: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50677B" w:rsidRPr="00EB42D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="0050677B" w:rsidRPr="00EB42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https://razumkov.org.ua/images/2023/05/09/2023-MATRA-I-KVARTAL-5.pdf</w:t>
        </w:r>
      </w:hyperlink>
      <w:r w:rsidRPr="00EB4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0CF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709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321320" w14:textId="0B383011" w:rsidR="004800CF" w:rsidRPr="00EB42D2" w:rsidRDefault="004800CF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Патика Н.</w:t>
      </w:r>
      <w:r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І., Мартинюк О.В., Кучеренко Д.Г. Міжнародні економічні відносини. Київ: Центр учбової літератури, 2013. 560 с. </w:t>
      </w:r>
      <w:r w:rsidR="00277709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D959C3" w14:textId="1FB7C686" w:rsidR="00D440B6" w:rsidRPr="00EB42D2" w:rsidRDefault="00075E7C" w:rsidP="00EB42D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Skills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forecast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: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trends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and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challenges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to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2030</w:t>
      </w:r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.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Luxembourg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: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Publications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Office. </w:t>
      </w:r>
      <w:proofErr w:type="spellStart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>Cedefop</w:t>
      </w:r>
      <w:proofErr w:type="spellEnd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 xml:space="preserve"> </w:t>
      </w:r>
      <w:proofErr w:type="spellStart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>reference</w:t>
      </w:r>
      <w:proofErr w:type="spellEnd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 xml:space="preserve"> </w:t>
      </w:r>
      <w:proofErr w:type="spellStart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>series</w:t>
      </w:r>
      <w:proofErr w:type="spellEnd"/>
      <w:r w:rsidRPr="00EB42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EFEFE"/>
          <w:lang w:val="uk-UA"/>
        </w:rPr>
        <w:t>,</w:t>
      </w:r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</w:t>
      </w:r>
      <w:proofErr w:type="spellStart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>No</w:t>
      </w:r>
      <w:proofErr w:type="spellEnd"/>
      <w:r w:rsidRPr="00EB42D2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  <w:lang w:val="uk-UA"/>
        </w:rPr>
        <w:t xml:space="preserve"> 108.  </w:t>
      </w:r>
      <w:r w:rsidR="003A7DED" w:rsidRPr="00EB42D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="003A7DED" w:rsidRPr="00EB42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https://www.cedefop.europa.eu/files/3077_en.pdf</w:t>
        </w:r>
      </w:hyperlink>
      <w:r w:rsidR="003A7DED" w:rsidRPr="00EB4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440B6" w:rsidRPr="00EB42D2" w:rsidSect="00373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EDD"/>
    <w:multiLevelType w:val="hybridMultilevel"/>
    <w:tmpl w:val="FBB4CDFE"/>
    <w:lvl w:ilvl="0" w:tplc="7BC258E6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461B25"/>
    <w:multiLevelType w:val="hybridMultilevel"/>
    <w:tmpl w:val="FD3A578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1E6DC0"/>
    <w:multiLevelType w:val="hybridMultilevel"/>
    <w:tmpl w:val="E50EC982"/>
    <w:lvl w:ilvl="0" w:tplc="8DD2172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4314B23"/>
    <w:multiLevelType w:val="hybridMultilevel"/>
    <w:tmpl w:val="B5B0D324"/>
    <w:lvl w:ilvl="0" w:tplc="06E00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8417668">
    <w:abstractNumId w:val="3"/>
  </w:num>
  <w:num w:numId="2" w16cid:durableId="1919829720">
    <w:abstractNumId w:val="0"/>
  </w:num>
  <w:num w:numId="3" w16cid:durableId="379983256">
    <w:abstractNumId w:val="2"/>
  </w:num>
  <w:num w:numId="4" w16cid:durableId="118366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15"/>
    <w:rsid w:val="00001490"/>
    <w:rsid w:val="00007CC0"/>
    <w:rsid w:val="00020D91"/>
    <w:rsid w:val="0004558F"/>
    <w:rsid w:val="00075E7C"/>
    <w:rsid w:val="0009099A"/>
    <w:rsid w:val="000E3D5C"/>
    <w:rsid w:val="00103045"/>
    <w:rsid w:val="00162EA4"/>
    <w:rsid w:val="00182009"/>
    <w:rsid w:val="001C2742"/>
    <w:rsid w:val="002031D7"/>
    <w:rsid w:val="00214FEE"/>
    <w:rsid w:val="00277709"/>
    <w:rsid w:val="00360435"/>
    <w:rsid w:val="003736AF"/>
    <w:rsid w:val="003A7DED"/>
    <w:rsid w:val="003C321E"/>
    <w:rsid w:val="003D52A8"/>
    <w:rsid w:val="004800CF"/>
    <w:rsid w:val="0050677B"/>
    <w:rsid w:val="005143D3"/>
    <w:rsid w:val="00545B15"/>
    <w:rsid w:val="00563FBB"/>
    <w:rsid w:val="00577D96"/>
    <w:rsid w:val="00587ACB"/>
    <w:rsid w:val="005D52BF"/>
    <w:rsid w:val="00694A0F"/>
    <w:rsid w:val="006A743B"/>
    <w:rsid w:val="00705491"/>
    <w:rsid w:val="007172AA"/>
    <w:rsid w:val="007235CF"/>
    <w:rsid w:val="007E7EA3"/>
    <w:rsid w:val="00830039"/>
    <w:rsid w:val="0087787D"/>
    <w:rsid w:val="008903DD"/>
    <w:rsid w:val="008A66DD"/>
    <w:rsid w:val="009437D1"/>
    <w:rsid w:val="00944C7A"/>
    <w:rsid w:val="009A37D4"/>
    <w:rsid w:val="009C508A"/>
    <w:rsid w:val="009D7EE9"/>
    <w:rsid w:val="009E1AEE"/>
    <w:rsid w:val="009F087E"/>
    <w:rsid w:val="00A148B4"/>
    <w:rsid w:val="00A35A5E"/>
    <w:rsid w:val="00A50E12"/>
    <w:rsid w:val="00A55CC6"/>
    <w:rsid w:val="00A75FA9"/>
    <w:rsid w:val="00A92C13"/>
    <w:rsid w:val="00AF3E81"/>
    <w:rsid w:val="00B00E49"/>
    <w:rsid w:val="00B10537"/>
    <w:rsid w:val="00B152CF"/>
    <w:rsid w:val="00B3146F"/>
    <w:rsid w:val="00B774F0"/>
    <w:rsid w:val="00B96ABD"/>
    <w:rsid w:val="00BD69A1"/>
    <w:rsid w:val="00C17456"/>
    <w:rsid w:val="00C417ED"/>
    <w:rsid w:val="00CA382A"/>
    <w:rsid w:val="00CE639D"/>
    <w:rsid w:val="00D160F4"/>
    <w:rsid w:val="00D440B6"/>
    <w:rsid w:val="00D67F4A"/>
    <w:rsid w:val="00D832FF"/>
    <w:rsid w:val="00DB529B"/>
    <w:rsid w:val="00DC5C94"/>
    <w:rsid w:val="00EB42D2"/>
    <w:rsid w:val="00F42DF1"/>
    <w:rsid w:val="00F85453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87E2"/>
  <w15:docId w15:val="{4DEFD79A-B164-4741-AD76-BBCD001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7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677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0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efop.europa.eu/files/3077_e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umkov.org.ua/images/2023/05/09/2023-MATRA-I-KVARTAL-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sej.org.ua/4_2023/15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D7E9-95A0-4546-A63F-6030D064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Петрівна Калініна</dc:creator>
  <cp:keywords/>
  <dc:description/>
  <cp:lastModifiedBy>Світлана Петрівна Калініна</cp:lastModifiedBy>
  <cp:revision>2</cp:revision>
  <dcterms:created xsi:type="dcterms:W3CDTF">2023-09-26T06:38:00Z</dcterms:created>
  <dcterms:modified xsi:type="dcterms:W3CDTF">2023-09-26T06:38:00Z</dcterms:modified>
</cp:coreProperties>
</file>