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76" w:rsidRPr="00234FF1" w:rsidRDefault="00286C76" w:rsidP="0023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</w:t>
      </w:r>
      <w:r w:rsidR="00EB69AB"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ОРМУВАННЯ ПРОДУКТИВНОСТІ СОНЯШНИКУ </w:t>
      </w:r>
      <w:r w:rsidR="00234FF1"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ПІВДЕННОМУ СТЕПУ УКРАЇНИ </w:t>
      </w:r>
      <w:r w:rsidR="00EB69AB"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 ДІЇ ПЕРЕДПОСІВНОЇ ОБРОБКИ</w:t>
      </w:r>
    </w:p>
    <w:p w:rsidR="00EB69AB" w:rsidRPr="00234FF1" w:rsidRDefault="00EB69AB" w:rsidP="0023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Покопцева</w:t>
      </w:r>
      <w:proofErr w:type="spellEnd"/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</w:t>
      </w:r>
      <w:r w:rsidR="00234FF1"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234FF1"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к.с.-</w:t>
      </w:r>
      <w:proofErr w:type="spellStart"/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г.н</w:t>
      </w:r>
      <w:proofErr w:type="spellEnd"/>
      <w:r w:rsidR="00234FF1"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37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Зоря М.В. </w:t>
      </w:r>
      <w:proofErr w:type="spellStart"/>
      <w:r w:rsidR="00837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к.т.н</w:t>
      </w:r>
      <w:proofErr w:type="spellEnd"/>
      <w:r w:rsidR="00837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B69AB" w:rsidRPr="00234FF1" w:rsidRDefault="00EB69AB" w:rsidP="0023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Таврійський державний агротехнологічний університет</w:t>
      </w:r>
      <w:r w:rsidR="00234FF1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імені Дмитра Моторного</w:t>
      </w: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34FF1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Запоріжжя</w:t>
      </w:r>
    </w:p>
    <w:p w:rsidR="00234FF1" w:rsidRPr="00234FF1" w:rsidRDefault="00234FF1" w:rsidP="0023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4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5" w:history="1">
        <w:r w:rsidRPr="00234FF1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liubov.pokoptseva@tsatu.edu.ua</w:t>
        </w:r>
      </w:hyperlink>
    </w:p>
    <w:p w:rsidR="00234FF1" w:rsidRPr="00234FF1" w:rsidRDefault="00234FF1" w:rsidP="0023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C11B6" w:rsidRPr="00234FF1" w:rsidRDefault="00DD7068" w:rsidP="00234FF1">
      <w:pPr>
        <w:pStyle w:val="9"/>
        <w:ind w:firstLine="567"/>
      </w:pPr>
      <w:r w:rsidRPr="00234FF1">
        <w:t>Соняшник – основна олійна культура в нашій країні.</w:t>
      </w:r>
      <w:r w:rsidR="00F70C0D" w:rsidRPr="00234FF1">
        <w:t xml:space="preserve"> </w:t>
      </w:r>
      <w:r w:rsidR="003C11B6" w:rsidRPr="00234FF1">
        <w:t>Однією з причин низької реалізації генетичного потенціалу нових районованих сортів соняшнику є недостатня обґрунтованість технологіч</w:t>
      </w:r>
      <w:bookmarkStart w:id="0" w:name="_GoBack"/>
      <w:bookmarkEnd w:id="0"/>
      <w:r w:rsidR="003C11B6" w:rsidRPr="00234FF1">
        <w:t xml:space="preserve">них заходів адаптації рослин до несприятливих умов вирощування. Вирішення цієї проблеми можливе шляхом розробки нових та удосконалення існуючих елементів технології вирощування соняшнику, в тому числі і за рахунок застосування фунгіцидів і препаратів для регуляції ростових і продукційних процесів. </w:t>
      </w:r>
    </w:p>
    <w:p w:rsidR="003C11B6" w:rsidRPr="00234FF1" w:rsidRDefault="003C11B6" w:rsidP="00234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Тому метою роботи стало вивчення впливу передпосівної обробки насіння соняшнику регулятором росту рослин АКМ і фунгіциду </w:t>
      </w:r>
      <w:proofErr w:type="spellStart"/>
      <w:r w:rsidRPr="00234FF1">
        <w:rPr>
          <w:rFonts w:ascii="Times New Roman" w:hAnsi="Times New Roman" w:cs="Times New Roman"/>
          <w:sz w:val="28"/>
          <w:szCs w:val="28"/>
          <w:lang w:val="uk-UA"/>
        </w:rPr>
        <w:t>Дерозал</w:t>
      </w:r>
      <w:proofErr w:type="spellEnd"/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на підвищення його продуктивності і якість урожаю.</w:t>
      </w:r>
    </w:p>
    <w:p w:rsidR="00286C76" w:rsidRPr="00234FF1" w:rsidRDefault="00286C76" w:rsidP="0023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дослідів використовували насіння </w:t>
      </w:r>
      <w:r w:rsidR="003C11B6" w:rsidRPr="00234FF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соняшнику</w:t>
      </w:r>
      <w:r w:rsidRPr="00234FF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234FF1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 w:rsidR="003C11B6" w:rsidRPr="00234F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Чумак, який </w:t>
      </w:r>
      <w:r w:rsidR="00BA2E2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C11B6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екомендований для вирощування </w:t>
      </w:r>
      <w:r w:rsidR="001728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11B6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Степовій зоні</w:t>
      </w:r>
      <w:r w:rsidRPr="00234FF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C11B6" w:rsidRPr="00234FF1" w:rsidRDefault="003C11B6" w:rsidP="00234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Соняшник висівали за технологією, рекомендованою для зони Степу України. Культуру вирощували на богарі. Попередник – ярий ячмінь. Загальна площа ділянки становила </w:t>
      </w:r>
      <w:smartTag w:uri="urn:schemas-microsoft-com:office:smarttags" w:element="metricconverter">
        <w:smartTagPr>
          <w:attr w:name="ProductID" w:val="5 га"/>
        </w:smartTagPr>
        <w:r w:rsidRPr="00234FF1">
          <w:rPr>
            <w:rFonts w:ascii="Times New Roman" w:hAnsi="Times New Roman" w:cs="Times New Roman"/>
            <w:sz w:val="28"/>
            <w:szCs w:val="28"/>
            <w:lang w:val="uk-UA"/>
          </w:rPr>
          <w:t>5 га</w:t>
        </w:r>
      </w:smartTag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33D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34FF1">
        <w:rPr>
          <w:rFonts w:ascii="Times New Roman" w:hAnsi="Times New Roman" w:cs="Times New Roman"/>
          <w:sz w:val="28"/>
          <w:szCs w:val="28"/>
          <w:lang w:val="uk-UA"/>
        </w:rPr>
        <w:t>озміщення ділянок систематичне у трьох повтор</w:t>
      </w:r>
      <w:r w:rsidR="0017282C">
        <w:rPr>
          <w:rFonts w:ascii="Times New Roman" w:hAnsi="Times New Roman" w:cs="Times New Roman"/>
          <w:sz w:val="28"/>
          <w:szCs w:val="28"/>
          <w:lang w:val="uk-UA"/>
        </w:rPr>
        <w:t>енн</w:t>
      </w:r>
      <w:r w:rsidRPr="00234FF1">
        <w:rPr>
          <w:rFonts w:ascii="Times New Roman" w:hAnsi="Times New Roman" w:cs="Times New Roman"/>
          <w:sz w:val="28"/>
          <w:szCs w:val="28"/>
          <w:lang w:val="uk-UA"/>
        </w:rPr>
        <w:t>ях.</w:t>
      </w:r>
    </w:p>
    <w:p w:rsidR="003C11B6" w:rsidRPr="00234FF1" w:rsidRDefault="003C11B6" w:rsidP="00234FF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>Дослід проводився за наступною схемою:</w:t>
      </w:r>
    </w:p>
    <w:p w:rsidR="003C11B6" w:rsidRPr="00234FF1" w:rsidRDefault="003C11B6" w:rsidP="0017282C">
      <w:pPr>
        <w:pStyle w:val="a8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>Варіант 1 - контроль (без обробки)</w:t>
      </w:r>
    </w:p>
    <w:p w:rsidR="003C11B6" w:rsidRPr="00234FF1" w:rsidRDefault="003C11B6" w:rsidP="0017282C">
      <w:pPr>
        <w:pStyle w:val="a8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Варіант 2 - передпосівна обробка насіння фунгіцидом </w:t>
      </w:r>
      <w:proofErr w:type="spellStart"/>
      <w:r w:rsidRPr="00234FF1">
        <w:rPr>
          <w:rFonts w:ascii="Times New Roman" w:hAnsi="Times New Roman" w:cs="Times New Roman"/>
          <w:sz w:val="28"/>
          <w:szCs w:val="28"/>
          <w:lang w:val="uk-UA"/>
        </w:rPr>
        <w:t>Дерозал</w:t>
      </w:r>
      <w:proofErr w:type="spellEnd"/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(1,5 л/т)</w:t>
      </w:r>
    </w:p>
    <w:p w:rsidR="003C11B6" w:rsidRPr="00234FF1" w:rsidRDefault="003C11B6" w:rsidP="0017282C">
      <w:pPr>
        <w:pStyle w:val="a8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>Варіант 3 - передпосівна обробка регулятором росту рослин АКМ (200 мл/т)</w:t>
      </w:r>
    </w:p>
    <w:p w:rsidR="003C11B6" w:rsidRPr="00234FF1" w:rsidRDefault="003C11B6" w:rsidP="0017282C">
      <w:pPr>
        <w:pStyle w:val="a8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Варіант 4 - Сумісне застосування для передпосівної обробки насіння препаратів АКМ (200 мл/т) і </w:t>
      </w:r>
      <w:proofErr w:type="spellStart"/>
      <w:r w:rsidRPr="00234FF1">
        <w:rPr>
          <w:rFonts w:ascii="Times New Roman" w:hAnsi="Times New Roman" w:cs="Times New Roman"/>
          <w:sz w:val="28"/>
          <w:szCs w:val="28"/>
          <w:lang w:val="uk-UA"/>
        </w:rPr>
        <w:t>Дерозал</w:t>
      </w:r>
      <w:proofErr w:type="spellEnd"/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(1,5 л/т)</w:t>
      </w:r>
    </w:p>
    <w:p w:rsidR="00965FC3" w:rsidRPr="00234FF1" w:rsidRDefault="00965FC3" w:rsidP="00234F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Статистичну обробку даних проводили за критерієм </w:t>
      </w:r>
      <w:proofErr w:type="spellStart"/>
      <w:r w:rsidRPr="00234FF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Стюдента</w:t>
      </w:r>
      <w:proofErr w:type="spellEnd"/>
      <w:r w:rsidRPr="00234FF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при р≤0,05.</w:t>
      </w:r>
    </w:p>
    <w:p w:rsidR="00965FC3" w:rsidRPr="00234FF1" w:rsidRDefault="00286C76" w:rsidP="00AF3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hAnsi="Times New Roman" w:cs="Times New Roman"/>
          <w:b/>
          <w:sz w:val="28"/>
          <w:szCs w:val="28"/>
          <w:lang w:val="uk-UA"/>
        </w:rPr>
        <w:t>Результати дослідження.</w:t>
      </w:r>
      <w:r w:rsidRPr="00234F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Польова схожість – це </w:t>
      </w:r>
      <w:r w:rsidR="00F70C0D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</w:t>
      </w:r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рослин у фазі повних сходів, виражене у відсотках від числа схожих насінин на одиницю площі. Вона залежить від </w:t>
      </w:r>
      <w:proofErr w:type="spellStart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вирівняності</w:t>
      </w:r>
      <w:proofErr w:type="spellEnd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насіння, маси 1000 насінин, лабораторної схожості та фізіологічної стиглості</w:t>
      </w:r>
      <w:r w:rsidR="00965FC3" w:rsidRPr="00234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F3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F3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наших дослідах за дії протруйника </w:t>
      </w:r>
      <w:proofErr w:type="spellStart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Дерозал</w:t>
      </w:r>
      <w:proofErr w:type="spellEnd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спостерігалася тенденція до підвищення схожості насіння на 2%, за дії препарату АКМ - на 3 % порівняно з контролем (табл. 1).  Найбільшу ефективність спостерігали при сумісному використанні регуляторів росту рослин АКМ і протруйника </w:t>
      </w:r>
      <w:proofErr w:type="spellStart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Дерозал</w:t>
      </w:r>
      <w:proofErr w:type="spellEnd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 польова схожість була вищою за контроль на 4 %. </w:t>
      </w:r>
    </w:p>
    <w:p w:rsidR="00AF33DE" w:rsidRPr="00234FF1" w:rsidRDefault="00AF33DE" w:rsidP="00AF3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икористання досліджуваних препаратів достовірно збільшує висоту рослин на 15,8 – 25,4 см, порівняно з контролем. При цьому у варіанті досліду з сумісним застосуванням АКМ і </w:t>
      </w:r>
      <w:proofErr w:type="spellStart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Дерозалу</w:t>
      </w:r>
      <w:proofErr w:type="spellEnd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цей показник досягав максимуму і був вищим за контроль у 1,25 рази.</w:t>
      </w:r>
    </w:p>
    <w:p w:rsidR="00AF33DE" w:rsidRPr="00234FF1" w:rsidRDefault="00AF33DE" w:rsidP="00AF3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 фоні збільшення висоти рослин за дії передпосівної обробки спостерігалося і зміцнення стебел. Так, діаметр стебла достовірно збільшувався на 1,8 – 7,1% порівняно з контрольним варіантом досліду.</w:t>
      </w:r>
    </w:p>
    <w:p w:rsidR="00965FC3" w:rsidRPr="00234FF1" w:rsidRDefault="00965FC3" w:rsidP="00DC14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</w:t>
      </w:r>
      <w:r w:rsidR="00DC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Морфологічний аналіз соняшнику сорту Чумак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60"/>
        <w:gridCol w:w="2126"/>
      </w:tblGrid>
      <w:tr w:rsidR="00965FC3" w:rsidRPr="00234FF1" w:rsidTr="00271DC3">
        <w:trPr>
          <w:trHeight w:val="176"/>
        </w:trPr>
        <w:tc>
          <w:tcPr>
            <w:tcW w:w="2660" w:type="dxa"/>
            <w:vMerge w:val="restart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6804" w:type="dxa"/>
            <w:gridSpan w:val="4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досліду</w:t>
            </w:r>
          </w:p>
        </w:tc>
      </w:tr>
      <w:tr w:rsidR="00965FC3" w:rsidRPr="00234FF1" w:rsidTr="00271DC3">
        <w:trPr>
          <w:trHeight w:val="321"/>
        </w:trPr>
        <w:tc>
          <w:tcPr>
            <w:tcW w:w="2660" w:type="dxa"/>
            <w:vMerge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9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</w:t>
            </w:r>
          </w:p>
        </w:tc>
        <w:tc>
          <w:tcPr>
            <w:tcW w:w="1559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Дерозал</w:t>
            </w:r>
            <w:proofErr w:type="spellEnd"/>
          </w:p>
        </w:tc>
        <w:tc>
          <w:tcPr>
            <w:tcW w:w="15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АКМ</w:t>
            </w:r>
          </w:p>
        </w:tc>
        <w:tc>
          <w:tcPr>
            <w:tcW w:w="2126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АКМ+Дерозал</w:t>
            </w:r>
            <w:proofErr w:type="spellEnd"/>
          </w:p>
        </w:tc>
      </w:tr>
      <w:tr w:rsidR="00965FC3" w:rsidRPr="00234FF1" w:rsidTr="00271DC3">
        <w:trPr>
          <w:trHeight w:val="269"/>
        </w:trPr>
        <w:tc>
          <w:tcPr>
            <w:tcW w:w="26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Польова схожість,%</w:t>
            </w:r>
          </w:p>
        </w:tc>
        <w:tc>
          <w:tcPr>
            <w:tcW w:w="1559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</w:t>
            </w:r>
          </w:p>
        </w:tc>
        <w:tc>
          <w:tcPr>
            <w:tcW w:w="1559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93</w:t>
            </w:r>
          </w:p>
        </w:tc>
        <w:tc>
          <w:tcPr>
            <w:tcW w:w="15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</w:t>
            </w:r>
          </w:p>
        </w:tc>
        <w:tc>
          <w:tcPr>
            <w:tcW w:w="2126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</w:t>
            </w:r>
          </w:p>
        </w:tc>
      </w:tr>
      <w:tr w:rsidR="00965FC3" w:rsidRPr="00234FF1" w:rsidTr="002948BA">
        <w:tc>
          <w:tcPr>
            <w:tcW w:w="26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рослин, тис. на 1 га</w:t>
            </w:r>
          </w:p>
        </w:tc>
        <w:tc>
          <w:tcPr>
            <w:tcW w:w="1559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45,0</w:t>
            </w:r>
          </w:p>
        </w:tc>
        <w:tc>
          <w:tcPr>
            <w:tcW w:w="1559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45,9</w:t>
            </w:r>
          </w:p>
        </w:tc>
        <w:tc>
          <w:tcPr>
            <w:tcW w:w="15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46,4</w:t>
            </w:r>
          </w:p>
        </w:tc>
        <w:tc>
          <w:tcPr>
            <w:tcW w:w="2126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46,8</w:t>
            </w:r>
          </w:p>
        </w:tc>
      </w:tr>
      <w:tr w:rsidR="00965FC3" w:rsidRPr="00234FF1" w:rsidTr="00965FC3">
        <w:trPr>
          <w:trHeight w:val="320"/>
        </w:trPr>
        <w:tc>
          <w:tcPr>
            <w:tcW w:w="2660" w:type="dxa"/>
          </w:tcPr>
          <w:p w:rsidR="00965FC3" w:rsidRPr="00234FF1" w:rsidRDefault="00965FC3" w:rsidP="0017282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Висота рослини, см</w:t>
            </w:r>
          </w:p>
        </w:tc>
        <w:tc>
          <w:tcPr>
            <w:tcW w:w="1559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102,4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±3,1</w:t>
            </w:r>
          </w:p>
        </w:tc>
        <w:tc>
          <w:tcPr>
            <w:tcW w:w="1559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118,2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±3,4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560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123,4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±3,6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2126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127,8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±3,8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965FC3" w:rsidRPr="00234FF1" w:rsidTr="00965FC3">
        <w:trPr>
          <w:trHeight w:val="288"/>
        </w:trPr>
        <w:tc>
          <w:tcPr>
            <w:tcW w:w="26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 стебла, мм</w:t>
            </w:r>
          </w:p>
        </w:tc>
        <w:tc>
          <w:tcPr>
            <w:tcW w:w="1559" w:type="dxa"/>
          </w:tcPr>
          <w:p w:rsidR="00965FC3" w:rsidRPr="00234FF1" w:rsidRDefault="00965FC3" w:rsidP="0017282C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/>
                <w:sz w:val="28"/>
                <w:szCs w:val="28"/>
                <w:lang w:val="uk-UA"/>
              </w:rPr>
              <w:t>15,8±0,2</w:t>
            </w:r>
          </w:p>
        </w:tc>
        <w:tc>
          <w:tcPr>
            <w:tcW w:w="1559" w:type="dxa"/>
          </w:tcPr>
          <w:p w:rsidR="00965FC3" w:rsidRPr="00234FF1" w:rsidRDefault="00965FC3" w:rsidP="0017282C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/>
                <w:sz w:val="28"/>
                <w:szCs w:val="28"/>
                <w:lang w:val="uk-UA"/>
              </w:rPr>
              <w:t>17,6±0,2</w:t>
            </w:r>
            <w:r w:rsidRPr="00234FF1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1560" w:type="dxa"/>
          </w:tcPr>
          <w:p w:rsidR="00965FC3" w:rsidRPr="00234FF1" w:rsidRDefault="00965FC3" w:rsidP="0017282C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/>
                <w:sz w:val="28"/>
                <w:szCs w:val="28"/>
                <w:lang w:val="uk-UA"/>
              </w:rPr>
              <w:t>20,7±0,2</w:t>
            </w:r>
            <w:r w:rsidRPr="00234FF1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val="uk-UA"/>
              </w:rPr>
              <w:t>*</w:t>
            </w:r>
          </w:p>
        </w:tc>
        <w:tc>
          <w:tcPr>
            <w:tcW w:w="2126" w:type="dxa"/>
          </w:tcPr>
          <w:p w:rsidR="00965FC3" w:rsidRPr="00234FF1" w:rsidRDefault="00965FC3" w:rsidP="0017282C">
            <w:pPr>
              <w:pStyle w:val="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/>
                <w:sz w:val="28"/>
                <w:szCs w:val="28"/>
                <w:lang w:val="uk-UA"/>
              </w:rPr>
              <w:t>22,9±0,2</w:t>
            </w:r>
            <w:r w:rsidRPr="00234FF1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*</w:t>
            </w:r>
          </w:p>
        </w:tc>
      </w:tr>
      <w:tr w:rsidR="00965FC3" w:rsidRPr="00234FF1" w:rsidTr="002948BA">
        <w:tc>
          <w:tcPr>
            <w:tcW w:w="26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листків на рослину, </w:t>
            </w:r>
            <w:proofErr w:type="spellStart"/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22,5±0,2</w:t>
            </w:r>
          </w:p>
        </w:tc>
        <w:tc>
          <w:tcPr>
            <w:tcW w:w="1559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24,5±0,2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560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26,5±0,2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2126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28,0±0,2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965FC3" w:rsidRPr="00234FF1" w:rsidTr="002948BA">
        <w:tc>
          <w:tcPr>
            <w:tcW w:w="2660" w:type="dxa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 листкової поверхні, см</w:t>
            </w: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108,2± 3,2</w:t>
            </w:r>
          </w:p>
        </w:tc>
        <w:tc>
          <w:tcPr>
            <w:tcW w:w="1559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113,1±3,1</w:t>
            </w:r>
          </w:p>
        </w:tc>
        <w:tc>
          <w:tcPr>
            <w:tcW w:w="1560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117,2±3,1</w:t>
            </w:r>
          </w:p>
        </w:tc>
        <w:tc>
          <w:tcPr>
            <w:tcW w:w="2126" w:type="dxa"/>
            <w:vAlign w:val="center"/>
          </w:tcPr>
          <w:p w:rsidR="00965FC3" w:rsidRPr="00234FF1" w:rsidRDefault="00965FC3" w:rsidP="0017282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119,0±3,2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</w:tbl>
    <w:p w:rsidR="00965FC3" w:rsidRPr="00234FF1" w:rsidRDefault="00965FC3" w:rsidP="00234FF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 – різниця достовірна, порівняно з контролем (Р≤0,05)</w:t>
      </w:r>
    </w:p>
    <w:p w:rsidR="00965FC3" w:rsidRPr="00234FF1" w:rsidRDefault="00965FC3" w:rsidP="00234F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Збільшення </w:t>
      </w:r>
      <w:proofErr w:type="spellStart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фітомаси</w:t>
      </w:r>
      <w:proofErr w:type="spellEnd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призводить до активізації </w:t>
      </w:r>
      <w:proofErr w:type="spellStart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фотосинтезуючого</w:t>
      </w:r>
      <w:proofErr w:type="spellEnd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апарату і, відповідно, впливає на формування урожайних властивостей соняшнику.</w:t>
      </w:r>
      <w:r w:rsidR="00F70C0D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Слід зазначити, що за дії досліджуваних препаратів кількість листків на рослині збільшується від 2,0 до 5,5 шт., порівняно з контролем. Відповідно, площа листкової поверхні також стає більшою. Особливо це стосується сумісного застосування препаратів АКМ і </w:t>
      </w:r>
      <w:proofErr w:type="spellStart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Дерозал</w:t>
      </w:r>
      <w:proofErr w:type="spellEnd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 цей показник достовірно вищий за контроль на 10 %.</w:t>
      </w:r>
    </w:p>
    <w:p w:rsidR="00965FC3" w:rsidRPr="00234FF1" w:rsidRDefault="00965FC3" w:rsidP="00234F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кращий вплив на ростові процеси оказує дослід з сумісним застосуванням препаратів АКМ і </w:t>
      </w:r>
      <w:proofErr w:type="spellStart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Дерозал</w:t>
      </w:r>
      <w:proofErr w:type="spellEnd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F3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наслідок збільшення </w:t>
      </w:r>
      <w:proofErr w:type="spellStart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фітомаси</w:t>
      </w:r>
      <w:proofErr w:type="spellEnd"/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можна очікувати на краще формування урожайних властивостей соняшнику.</w:t>
      </w:r>
    </w:p>
    <w:p w:rsidR="00965FC3" w:rsidRPr="00234FF1" w:rsidRDefault="00965FC3" w:rsidP="00BB4D7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Передпосівна обробка насіння позитивно вплинула і на формування урожаю. </w:t>
      </w:r>
      <w:r w:rsidR="00BB4D78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дії АКМ і </w:t>
      </w:r>
      <w:proofErr w:type="spellStart"/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>Дерозалу</w:t>
      </w:r>
      <w:proofErr w:type="spellEnd"/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збільшується </w:t>
      </w: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діаметр кошика в 1,2 – 1</w:t>
      </w:r>
      <w:r w:rsidR="00F70C0D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,6 рази, порівняно з контролем </w:t>
      </w: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(табл.2). </w:t>
      </w:r>
    </w:p>
    <w:p w:rsidR="00965FC3" w:rsidRPr="00234FF1" w:rsidRDefault="00965FC3" w:rsidP="00DC14F5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>Таблиця</w:t>
      </w:r>
      <w:r w:rsidR="00F70C0D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DC14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4FF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Структура врожаю соняшнику сорту Чумак 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488"/>
        <w:gridCol w:w="1488"/>
        <w:gridCol w:w="1488"/>
        <w:gridCol w:w="1489"/>
      </w:tblGrid>
      <w:tr w:rsidR="00965FC3" w:rsidRPr="00234FF1" w:rsidTr="00AF33DE">
        <w:trPr>
          <w:trHeight w:val="407"/>
        </w:trPr>
        <w:tc>
          <w:tcPr>
            <w:tcW w:w="3715" w:type="dxa"/>
            <w:vMerge w:val="restart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5953" w:type="dxa"/>
            <w:gridSpan w:val="4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досліду</w:t>
            </w:r>
          </w:p>
        </w:tc>
      </w:tr>
      <w:tr w:rsidR="00965FC3" w:rsidRPr="00234FF1" w:rsidTr="00AF33DE">
        <w:trPr>
          <w:trHeight w:val="407"/>
        </w:trPr>
        <w:tc>
          <w:tcPr>
            <w:tcW w:w="3715" w:type="dxa"/>
            <w:vMerge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88" w:type="dxa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</w:t>
            </w:r>
          </w:p>
        </w:tc>
        <w:tc>
          <w:tcPr>
            <w:tcW w:w="1488" w:type="dxa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Дерозал</w:t>
            </w:r>
            <w:proofErr w:type="spellEnd"/>
          </w:p>
        </w:tc>
        <w:tc>
          <w:tcPr>
            <w:tcW w:w="1488" w:type="dxa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АКМ</w:t>
            </w:r>
          </w:p>
        </w:tc>
        <w:tc>
          <w:tcPr>
            <w:tcW w:w="1489" w:type="dxa"/>
          </w:tcPr>
          <w:p w:rsidR="00606613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АКМ</w:t>
            </w:r>
          </w:p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  <w:proofErr w:type="spellStart"/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Дерозал</w:t>
            </w:r>
            <w:proofErr w:type="spellEnd"/>
          </w:p>
        </w:tc>
      </w:tr>
      <w:tr w:rsidR="00965FC3" w:rsidRPr="00234FF1" w:rsidTr="00AF33DE">
        <w:tc>
          <w:tcPr>
            <w:tcW w:w="3715" w:type="dxa"/>
          </w:tcPr>
          <w:p w:rsidR="00965FC3" w:rsidRPr="00234FF1" w:rsidRDefault="00965FC3" w:rsidP="006066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Діаметр кошика, см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10,6±0,3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12,9±0,3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14,5±0,3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489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17,1±0,4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965FC3" w:rsidRPr="00234FF1" w:rsidTr="00AF33DE">
        <w:tc>
          <w:tcPr>
            <w:tcW w:w="3715" w:type="dxa"/>
          </w:tcPr>
          <w:p w:rsidR="00965FC3" w:rsidRPr="00234FF1" w:rsidRDefault="00965FC3" w:rsidP="006066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Маса насіння з 1 кошика, г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35,0±0,8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36,1±0,8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42,6±0,9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489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45,8±0,9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965FC3" w:rsidRPr="00234FF1" w:rsidTr="00AF33DE">
        <w:tc>
          <w:tcPr>
            <w:tcW w:w="3715" w:type="dxa"/>
          </w:tcPr>
          <w:p w:rsidR="00965FC3" w:rsidRPr="00234FF1" w:rsidRDefault="00965FC3" w:rsidP="006066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Кількість насіння в 1 кошику, </w:t>
            </w:r>
            <w:proofErr w:type="spellStart"/>
            <w:r w:rsidRPr="00234FF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1488" w:type="dxa"/>
          </w:tcPr>
          <w:p w:rsidR="00965FC3" w:rsidRPr="00234FF1" w:rsidRDefault="00965FC3" w:rsidP="00606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704,2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±9,3</w:t>
            </w:r>
          </w:p>
        </w:tc>
        <w:tc>
          <w:tcPr>
            <w:tcW w:w="1488" w:type="dxa"/>
          </w:tcPr>
          <w:p w:rsidR="00965FC3" w:rsidRPr="00234FF1" w:rsidRDefault="00965FC3" w:rsidP="00606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703,8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±9,6</w:t>
            </w:r>
          </w:p>
        </w:tc>
        <w:tc>
          <w:tcPr>
            <w:tcW w:w="1488" w:type="dxa"/>
          </w:tcPr>
          <w:p w:rsidR="00965FC3" w:rsidRPr="00234FF1" w:rsidRDefault="00965FC3" w:rsidP="0060661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773,1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±9,4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489" w:type="dxa"/>
          </w:tcPr>
          <w:p w:rsidR="00965FC3" w:rsidRPr="00234FF1" w:rsidRDefault="00965FC3" w:rsidP="0060661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817,9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±9,6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965FC3" w:rsidRPr="00234FF1" w:rsidTr="00AF33DE">
        <w:tc>
          <w:tcPr>
            <w:tcW w:w="3715" w:type="dxa"/>
          </w:tcPr>
          <w:p w:rsidR="00965FC3" w:rsidRPr="00234FF1" w:rsidRDefault="00965FC3" w:rsidP="0060661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Маса 1000 насінин, г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49,7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±0,9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53,0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±0,8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55,1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±0,9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489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56,0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±0,9</w:t>
            </w:r>
            <w:r w:rsidRPr="00234FF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</w:tr>
      <w:tr w:rsidR="00965FC3" w:rsidRPr="00234FF1" w:rsidTr="00AF33DE">
        <w:tc>
          <w:tcPr>
            <w:tcW w:w="3715" w:type="dxa"/>
          </w:tcPr>
          <w:p w:rsidR="00965FC3" w:rsidRPr="00234FF1" w:rsidRDefault="00965FC3" w:rsidP="0060661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Біологічна врожайність, т/га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1,58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1,66</w:t>
            </w:r>
          </w:p>
        </w:tc>
        <w:tc>
          <w:tcPr>
            <w:tcW w:w="1488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1,98</w:t>
            </w:r>
          </w:p>
        </w:tc>
        <w:tc>
          <w:tcPr>
            <w:tcW w:w="1489" w:type="dxa"/>
            <w:vAlign w:val="center"/>
          </w:tcPr>
          <w:p w:rsidR="00965FC3" w:rsidRPr="00234FF1" w:rsidRDefault="00965FC3" w:rsidP="006066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F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2,14</w:t>
            </w:r>
          </w:p>
        </w:tc>
      </w:tr>
    </w:tbl>
    <w:p w:rsidR="00965FC3" w:rsidRPr="00234FF1" w:rsidRDefault="00965FC3" w:rsidP="00234F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 – різниця достовірна, порівняно з контролем (Р≤0,05)</w:t>
      </w:r>
    </w:p>
    <w:p w:rsidR="00965FC3" w:rsidRPr="00234FF1" w:rsidRDefault="00965FC3" w:rsidP="00234F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>Основними структурними одиницями урожаю соняшнику є маса та кількість насінин в одному кошику. При вивченні впливу досліджуваних препаратів</w:t>
      </w: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з’ясовано, що застосування АКМ сприяє збільшенню цих показників на 22% і на 10% відповідно, порівняно з контролем. Однак, слід відмітити, що </w:t>
      </w: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при сумісному застосуванні АКМ і </w:t>
      </w:r>
      <w:proofErr w:type="spellStart"/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>Дерозалу</w:t>
      </w:r>
      <w:proofErr w:type="spellEnd"/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кількість насінин в 1 кошику була більшою на 16%</w:t>
      </w:r>
      <w:r w:rsidR="00F70C0D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порівняно з контролем, а їх маса - на 31 %.</w:t>
      </w:r>
    </w:p>
    <w:p w:rsidR="00965FC3" w:rsidRPr="00234FF1" w:rsidRDefault="00965FC3" w:rsidP="00234F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Передпосівна обробка насіння соняшнику також призвела до збільшення такого показника, як маса 1000 насінин. Незалежно від варіанту обробки, цей показник був достовірно вищим за контроль на 6,6 – 12,7%.</w:t>
      </w:r>
    </w:p>
    <w:p w:rsidR="00965FC3" w:rsidRPr="00234FF1" w:rsidRDefault="00606613" w:rsidP="00234F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ередпосівна обробка насіння, препаратами АКМ і </w:t>
      </w:r>
      <w:proofErr w:type="spellStart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Дерозал</w:t>
      </w:r>
      <w:proofErr w:type="spellEnd"/>
      <w:r w:rsidR="00965FC3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значній мірі визначила показник продуктивності культури.</w:t>
      </w:r>
      <w:r w:rsidR="00F70C0D" w:rsidRPr="00234F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4D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965FC3" w:rsidRPr="00234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езалежно від варіанту обробки урожайність зросла на 5,1 – 35,4%, порівняно з контролем.  Але слід зазначити, що сумісне використання АКМ і </w:t>
      </w:r>
      <w:proofErr w:type="spellStart"/>
      <w:r w:rsidR="00965FC3" w:rsidRPr="00234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Дерозалу</w:t>
      </w:r>
      <w:proofErr w:type="spellEnd"/>
      <w:r w:rsidR="00965FC3" w:rsidRPr="00234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сприяло більш інтенсивному підвищенню врожайності до 0,56 т/га.</w:t>
      </w:r>
      <w:r w:rsidR="00965FC3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75C68" w:rsidRPr="00234FF1" w:rsidRDefault="00606613" w:rsidP="00234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авдяки використанню АКМ сумісно з протруювачем </w:t>
      </w:r>
      <w:proofErr w:type="spellStart"/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>Дерозал</w:t>
      </w:r>
      <w:proofErr w:type="spellEnd"/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>, підвищ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ється класність отриманого урожаю </w:t>
      </w:r>
      <w:r>
        <w:rPr>
          <w:rFonts w:ascii="Times New Roman" w:hAnsi="Times New Roman" w:cs="Times New Roman"/>
          <w:sz w:val="28"/>
          <w:szCs w:val="28"/>
          <w:lang w:val="uk-UA"/>
        </w:rPr>
        <w:t>за показником натури</w:t>
      </w:r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>, порівняно з контрольним варіантом досліду.</w:t>
      </w:r>
      <w:r w:rsidR="00E838CD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Окрім цього, знижується </w:t>
      </w:r>
      <w:proofErr w:type="spellStart"/>
      <w:r w:rsidR="00E838CD" w:rsidRPr="00234FF1">
        <w:rPr>
          <w:rFonts w:ascii="Times New Roman" w:hAnsi="Times New Roman" w:cs="Times New Roman"/>
          <w:sz w:val="28"/>
          <w:szCs w:val="28"/>
          <w:lang w:val="uk-UA"/>
        </w:rPr>
        <w:t>лузжистість</w:t>
      </w:r>
      <w:proofErr w:type="spellEnd"/>
      <w:r w:rsidR="00E838CD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насіння  до </w:t>
      </w:r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>19%, порівняно з контролем</w:t>
      </w:r>
      <w:r w:rsidR="00E838CD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>дає змогу збільшити вихід олії з однієї тони продукції (</w:t>
      </w:r>
      <w:r w:rsidR="00E838CD" w:rsidRPr="00234FF1">
        <w:rPr>
          <w:rFonts w:ascii="Times New Roman" w:hAnsi="Times New Roman" w:cs="Times New Roman"/>
          <w:sz w:val="28"/>
          <w:szCs w:val="28"/>
          <w:lang w:val="uk-UA"/>
        </w:rPr>
        <w:t>табл.</w:t>
      </w:r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3).</w:t>
      </w:r>
    </w:p>
    <w:p w:rsidR="00B955DA" w:rsidRPr="00DC14F5" w:rsidRDefault="00175C68" w:rsidP="00DC14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DC14F5">
        <w:rPr>
          <w:rFonts w:ascii="Times New Roman" w:hAnsi="Times New Roman" w:cs="Times New Roman"/>
          <w:spacing w:val="-6"/>
          <w:sz w:val="28"/>
          <w:szCs w:val="28"/>
          <w:lang w:val="uk-UA"/>
        </w:rPr>
        <w:t>Таблиця 3</w:t>
      </w:r>
      <w:r w:rsidR="00DC14F5" w:rsidRPr="00DC14F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C14F5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Якість насіння соняшнику, залежно від передпосівної обробки </w:t>
      </w:r>
    </w:p>
    <w:tbl>
      <w:tblPr>
        <w:tblpPr w:leftFromText="180" w:rightFromText="180" w:bottomFromText="200" w:vertAnchor="text" w:horzAnchor="margin" w:tblpY="8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891"/>
        <w:gridCol w:w="1891"/>
        <w:gridCol w:w="1890"/>
        <w:gridCol w:w="1892"/>
      </w:tblGrid>
      <w:tr w:rsidR="00271DC3" w:rsidRPr="00234FF1" w:rsidTr="00234FF1">
        <w:trPr>
          <w:cantSplit/>
          <w:trHeight w:val="84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 досліду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Натура, г/л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Лузжистість</w:t>
            </w:r>
            <w:proofErr w:type="spellEnd"/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%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Олійність, %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Кислотне число, мг КОН/г олії</w:t>
            </w:r>
          </w:p>
        </w:tc>
      </w:tr>
      <w:tr w:rsidR="00271DC3" w:rsidRPr="00234FF1" w:rsidTr="00234FF1">
        <w:trPr>
          <w:trHeight w:val="206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372,8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8,3</w:t>
            </w:r>
            <w:r w:rsidR="00271DC3"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30,4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45,6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0,29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0,01</w:t>
            </w:r>
          </w:p>
        </w:tc>
      </w:tr>
      <w:tr w:rsidR="00271DC3" w:rsidRPr="00234FF1" w:rsidTr="00234FF1">
        <w:trPr>
          <w:trHeight w:val="406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Дерозал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390,3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7,9*</w:t>
            </w:r>
            <w:r w:rsidR="00271DC3"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29,6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45,9 ± 0,6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0,28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0,01</w:t>
            </w:r>
          </w:p>
        </w:tc>
      </w:tr>
      <w:tr w:rsidR="00271DC3" w:rsidRPr="00234FF1" w:rsidTr="00234FF1">
        <w:trPr>
          <w:trHeight w:val="349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АКМ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402,5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8,5*</w:t>
            </w:r>
            <w:r w:rsidR="00271DC3"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28,2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47,0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0,7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0,23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0,01*</w:t>
            </w:r>
          </w:p>
        </w:tc>
      </w:tr>
      <w:tr w:rsidR="00271DC3" w:rsidRPr="00234FF1" w:rsidTr="00234FF1">
        <w:trPr>
          <w:trHeight w:val="57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АКМ + </w:t>
            </w:r>
            <w:proofErr w:type="spellStart"/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Дерозал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431,0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8,1*</w:t>
            </w:r>
            <w:r w:rsidR="00271DC3"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25,6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0,8*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tabs>
                <w:tab w:val="left" w:pos="2372"/>
              </w:tabs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47,6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CD" w:rsidRPr="00234FF1" w:rsidRDefault="00E838CD" w:rsidP="00234FF1">
            <w:pPr>
              <w:tabs>
                <w:tab w:val="left" w:pos="2372"/>
              </w:tabs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4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0,22 </w:t>
            </w:r>
            <w:r w:rsidRPr="00234F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± 0,01*</w:t>
            </w:r>
          </w:p>
        </w:tc>
      </w:tr>
    </w:tbl>
    <w:p w:rsidR="00175C68" w:rsidRPr="00234FF1" w:rsidRDefault="00175C68" w:rsidP="00234F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bCs/>
          <w:sz w:val="28"/>
          <w:szCs w:val="28"/>
          <w:lang w:val="uk-UA"/>
        </w:rPr>
        <w:t>* – різниця достовірна, порівняно з контролем (Р≤0,05)</w:t>
      </w:r>
    </w:p>
    <w:p w:rsidR="00175C68" w:rsidRPr="00234FF1" w:rsidRDefault="00A11547" w:rsidP="00BB4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показником якості соняшнику також є і вміст олії. Так, у контрольному варіанті цей показник сягав 45,6%. Застосування досліджуваних  препаратів </w:t>
      </w:r>
      <w:r w:rsidR="00606613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 тенденцію до збільшення олійності цього сорту до 2%.</w:t>
      </w:r>
      <w:r w:rsidR="00BB4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C68" w:rsidRPr="00234FF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 </w:t>
      </w:r>
      <w:r w:rsidR="00DC14F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вмістом</w:t>
      </w:r>
      <w:r w:rsidR="00175C68" w:rsidRPr="00234FF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вільних жирних кислот </w:t>
      </w:r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за дії препарату АКМ і сумісної дії АКМ і </w:t>
      </w:r>
      <w:proofErr w:type="spellStart"/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>Дерозал</w:t>
      </w:r>
      <w:r w:rsidR="00486245" w:rsidRPr="00234FF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175C68"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, кислотне число олії було в 1,26 – 1,32 рази нижчим, порівняно з контрольним варіантом досліду. </w:t>
      </w:r>
    </w:p>
    <w:p w:rsidR="007B0892" w:rsidRPr="00234FF1" w:rsidRDefault="00175C68" w:rsidP="00DC1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найбільший ефект дає варіант досліду з сумісним використанням 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для передпосівної обробки насіння соняшнику 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регулятора росту рослин АКМ і 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фунгіциду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Дерозал</w:t>
      </w:r>
      <w:proofErr w:type="spellEnd"/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 цьому 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збільш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ується загальна </w:t>
      </w:r>
      <w:proofErr w:type="spellStart"/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фітомас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покращ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уються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урожайн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і і якісні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властивост</w:t>
      </w:r>
      <w:r w:rsidR="00C67EB5" w:rsidRPr="00234FF1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7B0892" w:rsidRPr="00234FF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соняшнику сорту Чумак.</w:t>
      </w:r>
    </w:p>
    <w:p w:rsidR="0064717F" w:rsidRPr="00234FF1" w:rsidRDefault="00F960FE" w:rsidP="00234FF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4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ВИКОРИСТАНИХ ДЖЕРЕЛ</w:t>
      </w:r>
    </w:p>
    <w:p w:rsidR="0017282C" w:rsidRPr="0017282C" w:rsidRDefault="0017282C" w:rsidP="00234FF1">
      <w:pPr>
        <w:pStyle w:val="a8"/>
        <w:numPr>
          <w:ilvl w:val="0"/>
          <w:numId w:val="3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Основи наукових досліджень в агрономії: Підручник / В.О. </w:t>
      </w:r>
      <w:proofErr w:type="spellStart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>Єщенко</w:t>
      </w:r>
      <w:proofErr w:type="spellEnd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П.Г. </w:t>
      </w:r>
      <w:proofErr w:type="spellStart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>Копитко</w:t>
      </w:r>
      <w:proofErr w:type="spellEnd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В.П. </w:t>
      </w:r>
      <w:proofErr w:type="spellStart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>Опришко</w:t>
      </w:r>
      <w:proofErr w:type="spellEnd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П.В. Костогриз; за ред.. В.О. </w:t>
      </w:r>
      <w:proofErr w:type="spellStart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>Єщенко</w:t>
      </w:r>
      <w:proofErr w:type="spellEnd"/>
      <w:r w:rsidRPr="0017282C">
        <w:rPr>
          <w:rFonts w:ascii="Times New Roman" w:hAnsi="Times New Roman" w:cs="Times New Roman"/>
          <w:bCs/>
          <w:sz w:val="28"/>
          <w:szCs w:val="28"/>
          <w:lang w:val="uk-UA"/>
        </w:rPr>
        <w:t>. К.: Дія. 2005. 288 с.</w:t>
      </w:r>
    </w:p>
    <w:p w:rsidR="00755275" w:rsidRPr="00234FF1" w:rsidRDefault="00755275" w:rsidP="00234FF1">
      <w:pPr>
        <w:pStyle w:val="a8"/>
        <w:numPr>
          <w:ilvl w:val="0"/>
          <w:numId w:val="3"/>
        </w:numPr>
        <w:spacing w:after="0" w:line="240" w:lineRule="auto"/>
        <w:ind w:left="42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4FF1">
        <w:rPr>
          <w:rFonts w:ascii="Times New Roman" w:eastAsia="Calibri" w:hAnsi="Times New Roman" w:cs="Times New Roman"/>
          <w:sz w:val="28"/>
          <w:szCs w:val="28"/>
          <w:lang w:val="uk-UA"/>
        </w:rPr>
        <w:t>Зайцев О.М. Використання якісного насіння – найшвидший шлях до підвищення ефективності сільськогосподарського виробництва</w:t>
      </w:r>
      <w:r w:rsidR="00234FF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234F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Пропозиція. 2002. № 5. С.</w:t>
      </w:r>
    </w:p>
    <w:p w:rsidR="00755275" w:rsidRPr="00234FF1" w:rsidRDefault="00755275" w:rsidP="00234FF1">
      <w:pPr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34FF1">
        <w:rPr>
          <w:rFonts w:ascii="Times New Roman" w:eastAsia="Calibri" w:hAnsi="Times New Roman" w:cs="Times New Roman"/>
          <w:sz w:val="28"/>
          <w:szCs w:val="28"/>
          <w:lang w:val="uk-UA"/>
        </w:rPr>
        <w:t>Лихочвор</w:t>
      </w:r>
      <w:proofErr w:type="spellEnd"/>
      <w:r w:rsidRPr="00234F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В.В. Рослинництво. Технології вирощування сільськогосподарських культур. К.: Центр навчальної літератури, 2004. 808 с.</w:t>
      </w:r>
    </w:p>
    <w:sectPr w:rsidR="00755275" w:rsidRPr="00234FF1" w:rsidSect="00234F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375E"/>
    <w:multiLevelType w:val="hybridMultilevel"/>
    <w:tmpl w:val="A8DC6B6A"/>
    <w:lvl w:ilvl="0" w:tplc="2E4EE3D0">
      <w:start w:val="1"/>
      <w:numFmt w:val="decimal"/>
      <w:lvlText w:val="%1."/>
      <w:lvlJc w:val="left"/>
      <w:pPr>
        <w:ind w:left="1543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B04C67"/>
    <w:multiLevelType w:val="hybridMultilevel"/>
    <w:tmpl w:val="C11E4E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161E8"/>
    <w:multiLevelType w:val="hybridMultilevel"/>
    <w:tmpl w:val="7DD48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E1FCC"/>
    <w:multiLevelType w:val="hybridMultilevel"/>
    <w:tmpl w:val="9FAC1456"/>
    <w:lvl w:ilvl="0" w:tplc="822A29A0">
      <w:start w:val="1"/>
      <w:numFmt w:val="decimal"/>
      <w:lvlText w:val="%1."/>
      <w:lvlJc w:val="left"/>
      <w:pPr>
        <w:ind w:left="1961" w:hanging="11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76"/>
    <w:rsid w:val="00117A18"/>
    <w:rsid w:val="0017282C"/>
    <w:rsid w:val="00175C68"/>
    <w:rsid w:val="001B1BE4"/>
    <w:rsid w:val="00234FF1"/>
    <w:rsid w:val="0023511D"/>
    <w:rsid w:val="00271DC3"/>
    <w:rsid w:val="00286C76"/>
    <w:rsid w:val="00355D80"/>
    <w:rsid w:val="003958F3"/>
    <w:rsid w:val="003C11B6"/>
    <w:rsid w:val="00486245"/>
    <w:rsid w:val="005D1081"/>
    <w:rsid w:val="006043A5"/>
    <w:rsid w:val="00606613"/>
    <w:rsid w:val="0064717F"/>
    <w:rsid w:val="0068120F"/>
    <w:rsid w:val="00755275"/>
    <w:rsid w:val="007B0892"/>
    <w:rsid w:val="00837BBE"/>
    <w:rsid w:val="00965FC3"/>
    <w:rsid w:val="00A11547"/>
    <w:rsid w:val="00AF33DE"/>
    <w:rsid w:val="00B955DA"/>
    <w:rsid w:val="00BA2E27"/>
    <w:rsid w:val="00BB4D78"/>
    <w:rsid w:val="00BE41B4"/>
    <w:rsid w:val="00C57D85"/>
    <w:rsid w:val="00C67EB5"/>
    <w:rsid w:val="00CD764A"/>
    <w:rsid w:val="00DC14F5"/>
    <w:rsid w:val="00DD7068"/>
    <w:rsid w:val="00E838CD"/>
    <w:rsid w:val="00EB69AB"/>
    <w:rsid w:val="00EE7428"/>
    <w:rsid w:val="00F70C0D"/>
    <w:rsid w:val="00F70CBC"/>
    <w:rsid w:val="00F9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36537"/>
  <w15:docId w15:val="{380B93A1-271D-4462-84CD-F5A654BC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C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C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6C76"/>
    <w:pPr>
      <w:spacing w:after="0" w:line="240" w:lineRule="auto"/>
    </w:pPr>
    <w:rPr>
      <w:lang w:val="ru-RU"/>
    </w:rPr>
  </w:style>
  <w:style w:type="character" w:customStyle="1" w:styleId="a5">
    <w:name w:val="Без интервала Знак"/>
    <w:link w:val="a4"/>
    <w:uiPriority w:val="1"/>
    <w:rsid w:val="00286C76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8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C76"/>
    <w:rPr>
      <w:rFonts w:ascii="Tahoma" w:hAnsi="Tahoma" w:cs="Tahoma"/>
      <w:sz w:val="16"/>
      <w:szCs w:val="16"/>
      <w:lang w:val="ru-RU"/>
    </w:rPr>
  </w:style>
  <w:style w:type="paragraph" w:styleId="9">
    <w:name w:val="toc 9"/>
    <w:basedOn w:val="a"/>
    <w:next w:val="a"/>
    <w:autoRedefine/>
    <w:semiHidden/>
    <w:rsid w:val="003C11B6"/>
    <w:pPr>
      <w:widowControl w:val="0"/>
      <w:tabs>
        <w:tab w:val="right" w:leader="dot" w:pos="9631"/>
        <w:tab w:val="left" w:pos="972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noProof/>
      <w:sz w:val="28"/>
      <w:szCs w:val="28"/>
      <w:lang w:val="uk-UA" w:eastAsia="ru-RU"/>
    </w:rPr>
  </w:style>
  <w:style w:type="paragraph" w:customStyle="1" w:styleId="3">
    <w:name w:val="Без интервала3"/>
    <w:rsid w:val="00965FC3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8">
    <w:name w:val="List Paragraph"/>
    <w:basedOn w:val="a"/>
    <w:uiPriority w:val="34"/>
    <w:qFormat/>
    <w:rsid w:val="0064717F"/>
    <w:pPr>
      <w:ind w:left="720"/>
      <w:contextualSpacing/>
    </w:pPr>
  </w:style>
  <w:style w:type="character" w:customStyle="1" w:styleId="apple-converted-space">
    <w:name w:val="apple-converted-space"/>
    <w:basedOn w:val="a0"/>
    <w:rsid w:val="0064717F"/>
  </w:style>
  <w:style w:type="paragraph" w:styleId="a9">
    <w:name w:val="Normal (Web)"/>
    <w:basedOn w:val="a"/>
    <w:uiPriority w:val="99"/>
    <w:unhideWhenUsed/>
    <w:rsid w:val="0064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4717F"/>
    <w:rPr>
      <w:i/>
      <w:iCs/>
    </w:rPr>
  </w:style>
  <w:style w:type="character" w:styleId="ab">
    <w:name w:val="Hyperlink"/>
    <w:basedOn w:val="a0"/>
    <w:uiPriority w:val="99"/>
    <w:unhideWhenUsed/>
    <w:rsid w:val="0064717F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6471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Unresolved Mention"/>
    <w:basedOn w:val="a0"/>
    <w:uiPriority w:val="99"/>
    <w:semiHidden/>
    <w:unhideWhenUsed/>
    <w:rsid w:val="00234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ubov.pokoptseva@tsa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User</cp:lastModifiedBy>
  <cp:revision>8</cp:revision>
  <dcterms:created xsi:type="dcterms:W3CDTF">2023-09-24T19:16:00Z</dcterms:created>
  <dcterms:modified xsi:type="dcterms:W3CDTF">2023-09-24T19:51:00Z</dcterms:modified>
</cp:coreProperties>
</file>