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F167" w14:textId="4C18A61E" w:rsidR="00365895" w:rsidRDefault="007470D3" w:rsidP="00087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0D3">
        <w:rPr>
          <w:rFonts w:ascii="Times New Roman" w:hAnsi="Times New Roman" w:cs="Times New Roman"/>
          <w:b/>
          <w:bCs/>
          <w:sz w:val="28"/>
          <w:szCs w:val="28"/>
        </w:rPr>
        <w:t>ДОБІР ВИДІВ ЛІКАРСЬКИХ РОСЛИН ДЛЯ СУМІСНОГО ВИРОЩУВАННЯ З ПЛОДОВИМИ КУЛЬТУРАМИ</w:t>
      </w:r>
    </w:p>
    <w:p w14:paraId="68E1800E" w14:textId="77777777" w:rsidR="007470D3" w:rsidRDefault="007470D3" w:rsidP="00087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E9DA0" w14:textId="0E737D32" w:rsidR="007470D3" w:rsidRDefault="007470D3" w:rsidP="00087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Герасько Т.В., к.с.-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2AA919" w14:textId="01F74B1D" w:rsidR="007470D3" w:rsidRDefault="007470D3" w:rsidP="0008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Таврійський державний агротехнологічний університет імені Дмитра Моторного</w:t>
      </w:r>
    </w:p>
    <w:p w14:paraId="0A41E742" w14:textId="77777777" w:rsidR="007470D3" w:rsidRDefault="007470D3" w:rsidP="0008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4B17F" w14:textId="0061745D" w:rsidR="007470D3" w:rsidRDefault="007470D3" w:rsidP="0008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Pr="00FA2A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tetiana.herasko@tsatu.edu.ua</w:t>
        </w:r>
      </w:hyperlink>
    </w:p>
    <w:p w14:paraId="287A7C32" w14:textId="77777777" w:rsidR="007470D3" w:rsidRDefault="007470D3" w:rsidP="0008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EAB0EA" w14:textId="31E8D64A" w:rsidR="007470D3" w:rsidRDefault="007470D3" w:rsidP="00747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Раніше (приблизно, до середини минулого сторіччя) люди вирощували плодові культури природним</w:t>
      </w:r>
      <w:r w:rsidR="00506CA5">
        <w:rPr>
          <w:rFonts w:ascii="Times New Roman" w:eastAsia="Times New Roman" w:hAnsi="Times New Roman" w:cs="Times New Roman"/>
          <w:sz w:val="28"/>
          <w:szCs w:val="28"/>
        </w:rPr>
        <w:t xml:space="preserve"> (сьогодні це назвали б «</w:t>
      </w:r>
      <w:proofErr w:type="spellStart"/>
      <w:r w:rsidR="00506CA5">
        <w:rPr>
          <w:rFonts w:ascii="Times New Roman" w:eastAsia="Times New Roman" w:hAnsi="Times New Roman" w:cs="Times New Roman"/>
          <w:sz w:val="28"/>
          <w:szCs w:val="28"/>
        </w:rPr>
        <w:t>пермакультурним</w:t>
      </w:r>
      <w:proofErr w:type="spellEnd"/>
      <w:r w:rsidR="00506CA5">
        <w:rPr>
          <w:rFonts w:ascii="Times New Roman" w:eastAsia="Times New Roman" w:hAnsi="Times New Roman" w:cs="Times New Roman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 w:rsidR="00506CA5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Octavia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2022)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06CA5">
        <w:rPr>
          <w:rFonts w:ascii="Times New Roman" w:eastAsia="Times New Roman" w:hAnsi="Times New Roman" w:cs="Times New Roman"/>
          <w:sz w:val="28"/>
          <w:szCs w:val="28"/>
        </w:rPr>
        <w:t xml:space="preserve">плодові культури </w:t>
      </w:r>
      <w:proofErr w:type="spellStart"/>
      <w:r w:rsidR="00506CA5">
        <w:rPr>
          <w:rFonts w:ascii="Times New Roman" w:eastAsia="Times New Roman" w:hAnsi="Times New Roman" w:cs="Times New Roman"/>
          <w:sz w:val="28"/>
          <w:szCs w:val="28"/>
        </w:rPr>
        <w:t>сумі</w:t>
      </w:r>
      <w:r w:rsidR="00506CA5">
        <w:rPr>
          <w:rFonts w:ascii="Times New Roman" w:eastAsia="Times New Roman" w:hAnsi="Times New Roman" w:cs="Times New Roman"/>
          <w:sz w:val="28"/>
          <w:szCs w:val="28"/>
        </w:rPr>
        <w:t>щувалися</w:t>
      </w:r>
      <w:proofErr w:type="spellEnd"/>
      <w:r w:rsidR="00506CA5">
        <w:rPr>
          <w:rFonts w:ascii="Times New Roman" w:eastAsia="Times New Roman" w:hAnsi="Times New Roman" w:cs="Times New Roman"/>
          <w:sz w:val="28"/>
          <w:szCs w:val="28"/>
        </w:rPr>
        <w:t xml:space="preserve"> з овочевими, лікарськими</w:t>
      </w:r>
      <w:r w:rsidR="00506C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CA5">
        <w:rPr>
          <w:rFonts w:ascii="Times New Roman" w:eastAsia="Times New Roman" w:hAnsi="Times New Roman" w:cs="Times New Roman"/>
          <w:sz w:val="28"/>
          <w:szCs w:val="28"/>
        </w:rPr>
        <w:t xml:space="preserve"> фуражними</w:t>
      </w:r>
      <w:r w:rsidR="00506CA5">
        <w:rPr>
          <w:rFonts w:ascii="Times New Roman" w:eastAsia="Times New Roman" w:hAnsi="Times New Roman" w:cs="Times New Roman"/>
          <w:sz w:val="28"/>
          <w:szCs w:val="28"/>
        </w:rPr>
        <w:t xml:space="preserve"> рослинами. </w:t>
      </w:r>
      <w:r w:rsidR="00EB69F1">
        <w:rPr>
          <w:rFonts w:ascii="Times New Roman" w:eastAsia="Times New Roman" w:hAnsi="Times New Roman" w:cs="Times New Roman"/>
          <w:sz w:val="28"/>
          <w:szCs w:val="28"/>
        </w:rPr>
        <w:t xml:space="preserve">З огляду на прагнення людства до стабільного розвитку, сумісне вирощування плодових культур з іншими господарсько цінними рослинами заслуговує на відродження і вдосконалення. </w:t>
      </w:r>
    </w:p>
    <w:p w14:paraId="69616B4E" w14:textId="1B448EC4" w:rsidR="00986B5D" w:rsidRDefault="00EB69F1" w:rsidP="00986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Таврійському державному агротехнологічному університеті ми практикували сумісне вирощування черешні 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сидеральними 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лікарськими рослинами. Перед тим, як впроваджувати цей спосіб у нашому великому науково-дослідному саду (с. Зелене, Мелітопольського р-ну, Запорізької обл.), ми декілька років проводили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дрібноділянкові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досліди у невеликому (0,5 га) демонстраційному саду нашої кафедри </w:t>
      </w:r>
      <w:r w:rsidR="00D25812">
        <w:rPr>
          <w:rFonts w:ascii="Times New Roman" w:eastAsia="Times New Roman" w:hAnsi="Times New Roman" w:cs="Times New Roman"/>
          <w:sz w:val="28"/>
          <w:szCs w:val="28"/>
        </w:rPr>
        <w:t xml:space="preserve">рослинництва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садівництва, де вирощувалися по декілька дерев різних сортів абрикосу, персику, черешні, сливи, яблуні і груші для демонстрації студентам прийомів обрізування та догляду за цими культурами. </w:t>
      </w:r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чистий пар, загальноприйнятий у наших садах, руйнує родючість </w:t>
      </w:r>
      <w:r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>
        <w:rPr>
          <w:rFonts w:ascii="Times New Roman" w:eastAsia="Times New Roman" w:hAnsi="Times New Roman" w:cs="Times New Roman"/>
          <w:sz w:val="28"/>
          <w:szCs w:val="28"/>
        </w:rPr>
        <w:t>у, сприяючи водній та вітровій ерозії та розкладанню гумусу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усвідомлювали, що найбільш природним є збереження того рослинного покриву, який притаманний даним </w:t>
      </w:r>
      <w:r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ово-кліматичним умовам. </w:t>
      </w:r>
      <w:r>
        <w:rPr>
          <w:rFonts w:ascii="Times New Roman" w:eastAsia="Times New Roman" w:hAnsi="Times New Roman" w:cs="Times New Roman"/>
          <w:sz w:val="28"/>
          <w:szCs w:val="28"/>
        </w:rPr>
        <w:t>Тому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залиша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 саду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ділянки з </w:t>
      </w:r>
      <w:r>
        <w:rPr>
          <w:rFonts w:ascii="Times New Roman" w:eastAsia="Times New Roman" w:hAnsi="Times New Roman" w:cs="Times New Roman"/>
          <w:sz w:val="28"/>
          <w:szCs w:val="28"/>
        </w:rPr>
        <w:t>природн</w:t>
      </w:r>
      <w:r w:rsidR="00D25812"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трав</w:t>
      </w:r>
      <w:r w:rsidR="00D25812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зростання яких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контролювали скошуванням на висоту 15 см. Серед природних трав (навіть у нашій посушливій місцевості) є багато лікарських рослин (дивина, пижмо, шавлія, чорнокорінь</w:t>
      </w:r>
      <w:r w:rsidR="00D25812">
        <w:rPr>
          <w:rFonts w:ascii="Times New Roman" w:eastAsia="Times New Roman" w:hAnsi="Times New Roman" w:cs="Times New Roman"/>
          <w:sz w:val="28"/>
          <w:szCs w:val="28"/>
        </w:rPr>
        <w:t>, деревій та інші</w:t>
      </w:r>
      <w:r>
        <w:rPr>
          <w:rFonts w:ascii="Times New Roman" w:eastAsia="Times New Roman" w:hAnsi="Times New Roman" w:cs="Times New Roman"/>
          <w:sz w:val="28"/>
          <w:szCs w:val="28"/>
        </w:rPr>
        <w:t>), бобових (конюшин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волохат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мікоризних рослин (вівсюг, пирій). І всі вони створюють унікальний біоценоз, оптимальний для даної місцевості, збагачуючи </w:t>
      </w:r>
      <w:r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 w:rsidR="00D25812">
        <w:rPr>
          <w:rFonts w:ascii="Times New Roman" w:eastAsia="Times New Roman" w:hAnsi="Times New Roman" w:cs="Times New Roman"/>
          <w:sz w:val="28"/>
          <w:szCs w:val="28"/>
        </w:rPr>
        <w:t xml:space="preserve"> органічною речовиною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приваблюючи корисних комах, забезпечуючи життя мікоризних грибів і </w:t>
      </w:r>
      <w:r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ових мікробів. Наші попередні дослідження показали, що у посушливих умовах Півдня України на піщаних </w:t>
      </w:r>
      <w:r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природний рослинний покрив виконує функцію </w:t>
      </w:r>
      <w:r w:rsidR="00D2581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живої мульчі</w:t>
      </w:r>
      <w:r w:rsidR="00D2581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захищаючи </w:t>
      </w:r>
      <w:r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перегріву і зберігаючи у ньому вологу (</w:t>
      </w:r>
      <w:proofErr w:type="spellStart"/>
      <w:r w:rsidRPr="00D25812">
        <w:rPr>
          <w:rFonts w:ascii="Times New Roman" w:eastAsia="Times New Roman" w:hAnsi="Times New Roman" w:cs="Times New Roman"/>
          <w:sz w:val="28"/>
          <w:szCs w:val="28"/>
        </w:rPr>
        <w:t>Gerasko</w:t>
      </w:r>
      <w:proofErr w:type="spellEnd"/>
      <w:r w:rsidRPr="00D258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6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5812">
        <w:rPr>
          <w:rFonts w:ascii="Times New Roman" w:eastAsia="Times New Roman" w:hAnsi="Times New Roman" w:cs="Times New Roman"/>
          <w:sz w:val="28"/>
          <w:szCs w:val="28"/>
        </w:rPr>
        <w:t>Pyda</w:t>
      </w:r>
      <w:proofErr w:type="spellEnd"/>
      <w:r w:rsidRPr="00D258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6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5812">
        <w:rPr>
          <w:rFonts w:ascii="Times New Roman" w:eastAsia="Times New Roman" w:hAnsi="Times New Roman" w:cs="Times New Roman"/>
          <w:sz w:val="28"/>
          <w:szCs w:val="28"/>
        </w:rPr>
        <w:t>Ivanova</w:t>
      </w:r>
      <w:proofErr w:type="spellEnd"/>
      <w:r w:rsidRPr="00D258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6B5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Але нам також було зрозуміло, що такі сприятливі умови у </w:t>
      </w:r>
      <w:r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природні трави створюють, у першу чергу, для себе, а не для плодових культур, з якими вони конкурують за світло, воду і поживні речовини (Герасько, 2020). Тому ми ставили собі на меті підібрати для вирощування у міжряддях саду рослини з сидеральними та лікарськими властивостями. До того ж такі рослини повинні були витримувати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напівзатінення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не повинні були мати негативний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алелопатичний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 на плодові дерева і погіршувати фітосанітарний стан саду.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огляду на подальшу перспективу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вирощування таких рослин у промислових садах, вони мали бути «технологічними» (</w:t>
      </w:r>
      <w:r w:rsidR="00D25812">
        <w:rPr>
          <w:rFonts w:ascii="Times New Roman" w:eastAsia="Times New Roman" w:hAnsi="Times New Roman" w:cs="Times New Roman"/>
          <w:sz w:val="28"/>
          <w:szCs w:val="28"/>
        </w:rPr>
        <w:t xml:space="preserve">прямий посів у ґрунт, посухостійкість, жаростійкість, придатність для механізованого збирання). </w:t>
      </w:r>
      <w:r w:rsidR="00CD7647">
        <w:rPr>
          <w:rFonts w:ascii="Times New Roman" w:eastAsia="Times New Roman" w:hAnsi="Times New Roman" w:cs="Times New Roman"/>
          <w:sz w:val="28"/>
          <w:szCs w:val="28"/>
        </w:rPr>
        <w:t xml:space="preserve">Спочатку у міжряддях саду ми посіяли люцерну, еспарцет піщаний, гірчицю і коріандр (сухим насінням, у сухий </w:t>
      </w:r>
      <w:r w:rsidR="00CD7647"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 w:rsidR="00CD7647">
        <w:rPr>
          <w:rFonts w:ascii="Times New Roman" w:eastAsia="Times New Roman" w:hAnsi="Times New Roman" w:cs="Times New Roman"/>
          <w:sz w:val="28"/>
          <w:szCs w:val="28"/>
        </w:rPr>
        <w:t xml:space="preserve">, на початку травня). Строки сівби були не оптимальні для гірчиці і коріандру, але ці культури показали найкращий результат за схожістю та продуктивністю. Гірчиця спрацювала, як природний гербіцид - бур’яни були пригнічені до економічно незначного рівня увесь період вегетації цієї культури. Проте, після закінчення вегетації гірчиці, бур’яни (спочатку </w:t>
      </w:r>
      <w:proofErr w:type="spellStart"/>
      <w:r w:rsidR="00CD7647">
        <w:rPr>
          <w:rFonts w:ascii="Times New Roman" w:eastAsia="Times New Roman" w:hAnsi="Times New Roman" w:cs="Times New Roman"/>
          <w:sz w:val="28"/>
          <w:szCs w:val="28"/>
        </w:rPr>
        <w:t>малорічні</w:t>
      </w:r>
      <w:proofErr w:type="spellEnd"/>
      <w:r w:rsidR="00CD7647">
        <w:rPr>
          <w:rFonts w:ascii="Times New Roman" w:eastAsia="Times New Roman" w:hAnsi="Times New Roman" w:cs="Times New Roman"/>
          <w:sz w:val="28"/>
          <w:szCs w:val="28"/>
        </w:rPr>
        <w:t xml:space="preserve">, згодом - багаторічні) досить швидко повернулися на цю ділянку. На другому місці щодо придушення бур’янів була люцерна і, оскільки це багаторічна культура, ефект зберігався та збільшувався наступного року. </w:t>
      </w:r>
      <w:proofErr w:type="spellStart"/>
      <w:r w:rsidR="00CD7647">
        <w:rPr>
          <w:rFonts w:ascii="Times New Roman" w:eastAsia="Times New Roman" w:hAnsi="Times New Roman" w:cs="Times New Roman"/>
          <w:sz w:val="28"/>
          <w:szCs w:val="28"/>
        </w:rPr>
        <w:t>Корінадр</w:t>
      </w:r>
      <w:proofErr w:type="spellEnd"/>
      <w:r w:rsidR="00CD7647">
        <w:rPr>
          <w:rFonts w:ascii="Times New Roman" w:eastAsia="Times New Roman" w:hAnsi="Times New Roman" w:cs="Times New Roman"/>
          <w:sz w:val="28"/>
          <w:szCs w:val="28"/>
        </w:rPr>
        <w:t xml:space="preserve"> також непогано управлявся з бур’янами, проте, по закінченню його вегетації бур’янів на цій ділянці було більше, ніж після гірчиці. Еспарцет піщаний мав низьку схожість насіння і у перші 2 роки пригнічувався бур’янами. Далі ми продовжили пошук рослин, які можна було б рекомендувати для вирощування у садах сумісно з плодовими деревами. Тепер ми звернули увагу на лікарські рослини, оскільки передбачали їх оздоровчий вплив на довкілля та економічну привабливість. Були посіяні календула і сафлор (сухим насінням, у сухий </w:t>
      </w:r>
      <w:r w:rsidR="00CD7647"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 w:rsidR="00CD7647">
        <w:rPr>
          <w:rFonts w:ascii="Times New Roman" w:eastAsia="Times New Roman" w:hAnsi="Times New Roman" w:cs="Times New Roman"/>
          <w:sz w:val="28"/>
          <w:szCs w:val="28"/>
        </w:rPr>
        <w:t>, у квітні).</w:t>
      </w:r>
      <w:r w:rsidR="00CD7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47">
        <w:rPr>
          <w:rFonts w:ascii="Times New Roman" w:eastAsia="Times New Roman" w:hAnsi="Times New Roman" w:cs="Times New Roman"/>
          <w:sz w:val="28"/>
          <w:szCs w:val="28"/>
        </w:rPr>
        <w:t xml:space="preserve">З біологічної точки зору, найкраще показав себе сафлор - добра польова схожість, продуктивність, медонос, довгий період цвітіння. Але сафлор - культура досить високоросла, щільно вкрита колючками (навіть </w:t>
      </w:r>
      <w:proofErr w:type="spellStart"/>
      <w:r w:rsidR="00CD7647">
        <w:rPr>
          <w:rFonts w:ascii="Times New Roman" w:eastAsia="Times New Roman" w:hAnsi="Times New Roman" w:cs="Times New Roman"/>
          <w:sz w:val="28"/>
          <w:szCs w:val="28"/>
        </w:rPr>
        <w:t>приквітники</w:t>
      </w:r>
      <w:proofErr w:type="spellEnd"/>
      <w:r w:rsidR="00CD76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і це робить її </w:t>
      </w:r>
      <w:r w:rsidR="004444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нетехнологічною</w:t>
      </w:r>
      <w:r w:rsidR="004444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, оскільки заважає вільному пересуванню робітників по міжряддям саду</w:t>
      </w:r>
      <w:r w:rsidR="00CD76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067" w:rsidRPr="001B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Через це ми забракували сафлор для подальших посівів. Календула (ми висіяли 5 сортів): добра польова схожість і продуктивність, але  без поливу - короткий період цвітіння і скорочений період вегетації.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З 2013 по 2021 рік існувала дослідна ділянка органічної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черешні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(площею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1,7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га) у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науково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-дослідному саду ТДАТУ, де впроваджувався і досліджувався </w:t>
      </w:r>
      <w:proofErr w:type="spellStart"/>
      <w:r w:rsidR="001B0067">
        <w:rPr>
          <w:rFonts w:ascii="Times New Roman" w:eastAsia="Times New Roman" w:hAnsi="Times New Roman" w:cs="Times New Roman"/>
          <w:sz w:val="28"/>
          <w:szCs w:val="28"/>
        </w:rPr>
        <w:t>пермакультурний</w:t>
      </w:r>
      <w:proofErr w:type="spellEnd"/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підхід до вирощування дерев черешні сумісно з лікарськими рослинами і мікоризними грибами.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міжряддях черешні ми сіяли: у 2016 році -  люцерну; у 2017 році - еспарцет піщаний, ромашку лікарську, ромашку далматську, </w:t>
      </w:r>
      <w:proofErr w:type="spellStart"/>
      <w:r w:rsidR="001B0067">
        <w:rPr>
          <w:rFonts w:ascii="Times New Roman" w:eastAsia="Times New Roman" w:hAnsi="Times New Roman" w:cs="Times New Roman"/>
          <w:sz w:val="28"/>
          <w:szCs w:val="28"/>
        </w:rPr>
        <w:t>шандру</w:t>
      </w:r>
      <w:proofErr w:type="spellEnd"/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, шавлію лікарську, шавлію мускатну, календулу, кропиву собачу, материнку, м’яту перцеву, гісоп лікарський, чебрець звичайний, синяк, фацелію, </w:t>
      </w:r>
      <w:proofErr w:type="spellStart"/>
      <w:r w:rsidR="001B0067">
        <w:rPr>
          <w:rFonts w:ascii="Times New Roman" w:eastAsia="Times New Roman" w:hAnsi="Times New Roman" w:cs="Times New Roman"/>
          <w:sz w:val="28"/>
          <w:szCs w:val="28"/>
        </w:rPr>
        <w:t>головатень</w:t>
      </w:r>
      <w:proofErr w:type="spellEnd"/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. Дослідна ділянка знаходилась недалеко від Мелітополя (13 км), тож кліматичні умови були однакові. Але </w:t>
      </w:r>
      <w:r w:rsidR="001B0067"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ові умови суттєво відрізнялися - на відміну від демонстраційної ділянки, де </w:t>
      </w:r>
      <w:r w:rsidR="001B0067"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був суглинистий, тут верхній шар </w:t>
      </w:r>
      <w:r w:rsidR="001B0067" w:rsidRPr="009E4D2A">
        <w:rPr>
          <w:rFonts w:ascii="Times New Roman" w:eastAsia="Times New Roman" w:hAnsi="Times New Roman" w:cs="Times New Roman"/>
          <w:sz w:val="28"/>
          <w:szCs w:val="28"/>
        </w:rPr>
        <w:t>ґрунт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у був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піщаний.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ля природних трав умови були достатньо добрі, попри піщаний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ґ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>рунт, спеку і посуху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AEB">
        <w:rPr>
          <w:rFonts w:ascii="Times New Roman" w:eastAsia="Times New Roman" w:hAnsi="Times New Roman" w:cs="Times New Roman"/>
          <w:sz w:val="28"/>
          <w:szCs w:val="28"/>
        </w:rPr>
        <w:t>вага</w:t>
      </w:r>
      <w:r w:rsidR="00D57AEB" w:rsidRPr="00D57AEB">
        <w:rPr>
          <w:rFonts w:ascii="Times New Roman" w:eastAsia="Times New Roman" w:hAnsi="Times New Roman" w:cs="Times New Roman"/>
          <w:sz w:val="28"/>
          <w:szCs w:val="28"/>
        </w:rPr>
        <w:t xml:space="preserve"> надземної сухої біомаси живої мульчі становила </w:t>
      </w:r>
      <w:r w:rsidR="00D57AEB">
        <w:rPr>
          <w:rFonts w:ascii="Times New Roman" w:eastAsia="Times New Roman" w:hAnsi="Times New Roman" w:cs="Times New Roman"/>
          <w:sz w:val="28"/>
          <w:szCs w:val="28"/>
        </w:rPr>
        <w:t>до 865</w:t>
      </w:r>
      <w:r w:rsidR="00D57AEB" w:rsidRPr="00D57AE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57A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D57AEB" w:rsidRPr="00D57A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7AEB" w:rsidRPr="00986B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444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AEB">
        <w:rPr>
          <w:rFonts w:ascii="Times New Roman" w:eastAsia="Times New Roman" w:hAnsi="Times New Roman" w:cs="Times New Roman"/>
          <w:sz w:val="28"/>
          <w:szCs w:val="28"/>
        </w:rPr>
        <w:t xml:space="preserve">при чому </w:t>
      </w:r>
      <w:r w:rsidR="00D57AEB" w:rsidRPr="00D57AEB">
        <w:rPr>
          <w:rFonts w:ascii="Times New Roman" w:eastAsia="Times New Roman" w:hAnsi="Times New Roman" w:cs="Times New Roman"/>
          <w:sz w:val="28"/>
          <w:szCs w:val="28"/>
        </w:rPr>
        <w:t xml:space="preserve">відсоток покриття ґрунту живою </w:t>
      </w:r>
      <w:r w:rsidR="00986B5D" w:rsidRPr="00D57AEB">
        <w:rPr>
          <w:rFonts w:ascii="Times New Roman" w:eastAsia="Times New Roman" w:hAnsi="Times New Roman" w:cs="Times New Roman"/>
          <w:sz w:val="28"/>
          <w:szCs w:val="28"/>
        </w:rPr>
        <w:t>мульчою</w:t>
      </w:r>
      <w:r w:rsidR="00D57AEB" w:rsidRPr="00D57AEB">
        <w:rPr>
          <w:rFonts w:ascii="Times New Roman" w:eastAsia="Times New Roman" w:hAnsi="Times New Roman" w:cs="Times New Roman"/>
          <w:sz w:val="28"/>
          <w:szCs w:val="28"/>
        </w:rPr>
        <w:t xml:space="preserve"> становив </w:t>
      </w:r>
      <w:r w:rsidR="00D57AEB">
        <w:rPr>
          <w:rFonts w:ascii="Times New Roman" w:eastAsia="Times New Roman" w:hAnsi="Times New Roman" w:cs="Times New Roman"/>
          <w:sz w:val="28"/>
          <w:szCs w:val="28"/>
        </w:rPr>
        <w:t>65-</w:t>
      </w:r>
      <w:r w:rsidR="00D57AEB" w:rsidRPr="00D57AEB">
        <w:rPr>
          <w:rFonts w:ascii="Times New Roman" w:eastAsia="Times New Roman" w:hAnsi="Times New Roman" w:cs="Times New Roman"/>
          <w:sz w:val="28"/>
          <w:szCs w:val="28"/>
        </w:rPr>
        <w:t>100%.</w:t>
      </w:r>
      <w:r w:rsidR="00D57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t xml:space="preserve">Проте, з вирощуванням лікарських рослин у таких умовах нас спіткала низка невдач. Так, у 2016 році люцерна не зійшла (були відмічені поодинокі сходи, які згодом засохли). У 2017 році: календула зійшла добре, але сходи не витримали заморозку. Собача кропива зійшла добре, але згодом сходи засохли. Спостерігали поодинокі сходи ромашки лікарської і шавлії мускатної, які згодом засохли. З усіх висіяних рослин на липень 2018 року на дослідній ділянці залишились лише </w:t>
      </w:r>
      <w:r w:rsidR="001B0067">
        <w:rPr>
          <w:rFonts w:ascii="Times New Roman" w:eastAsia="Times New Roman" w:hAnsi="Times New Roman" w:cs="Times New Roman"/>
          <w:sz w:val="28"/>
          <w:szCs w:val="28"/>
        </w:rPr>
        <w:lastRenderedPageBreak/>
        <w:t>гісоп лікарський і чебрець звичайний, які показали добру польову схожість, посухостійкість, витривалість проти бур’янів, цвіли і плодоносили. У наступні 2019-2021 роки ми продовжували спостереження за цими рослинами: гісоп лікарський (</w:t>
      </w:r>
      <w:proofErr w:type="spellStart"/>
      <w:r w:rsidR="001B0067"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>Hyssopus</w:t>
      </w:r>
      <w:proofErr w:type="spellEnd"/>
      <w:r w:rsidR="001B0067"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B0067"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>officinalis</w:t>
      </w:r>
      <w:proofErr w:type="spellEnd"/>
      <w:r w:rsidR="001B0067">
        <w:rPr>
          <w:rFonts w:ascii="Times New Roman" w:eastAsia="Times New Roman" w:hAnsi="Times New Roman" w:cs="Times New Roman"/>
          <w:sz w:val="28"/>
          <w:szCs w:val="28"/>
        </w:rPr>
        <w:t>) і чебрець звичайний (</w:t>
      </w:r>
      <w:proofErr w:type="spellStart"/>
      <w:r w:rsidR="001B0067"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>Thymus</w:t>
      </w:r>
      <w:proofErr w:type="spellEnd"/>
      <w:r w:rsidR="001B0067"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B0067"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>vulgaris</w:t>
      </w:r>
      <w:proofErr w:type="spellEnd"/>
      <w:r w:rsidR="001B0067">
        <w:rPr>
          <w:rFonts w:ascii="Times New Roman" w:eastAsia="Times New Roman" w:hAnsi="Times New Roman" w:cs="Times New Roman"/>
          <w:sz w:val="28"/>
          <w:szCs w:val="28"/>
        </w:rPr>
        <w:t>) розрослися і утворили широкі куртини, період цвітіння у них був довгий - з початку липня до кінця жовтня.</w:t>
      </w:r>
      <w:r w:rsidR="00986B5D" w:rsidRPr="00986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5D">
        <w:rPr>
          <w:rFonts w:ascii="Times New Roman" w:eastAsia="Times New Roman" w:hAnsi="Times New Roman" w:cs="Times New Roman"/>
          <w:sz w:val="28"/>
          <w:szCs w:val="28"/>
        </w:rPr>
        <w:t>Дані щодо врожаю лікарської сировини цих рослин, отриманого у 2019 році, наведені у таблиці.</w:t>
      </w:r>
    </w:p>
    <w:p w14:paraId="595E7264" w14:textId="7E44E554" w:rsidR="00986B5D" w:rsidRPr="00986B5D" w:rsidRDefault="00986B5D" w:rsidP="00986B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6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Таблиця </w:t>
      </w:r>
    </w:p>
    <w:p w14:paraId="1757451D" w14:textId="77777777" w:rsidR="00986B5D" w:rsidRPr="00986B5D" w:rsidRDefault="00986B5D" w:rsidP="00986B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5D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Продуктивність чебрецю і гісопу за сумісного вирощування з деревами черешні (</w:t>
      </w:r>
      <w:proofErr w:type="spellStart"/>
      <w:r w:rsidRPr="00986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Prunus</w:t>
      </w:r>
      <w:proofErr w:type="spellEnd"/>
      <w:r w:rsidRPr="00986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86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avium</w:t>
      </w:r>
      <w:proofErr w:type="spellEnd"/>
      <w:r w:rsidRPr="00986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L./</w:t>
      </w:r>
      <w:proofErr w:type="spellStart"/>
      <w:r w:rsidRPr="00986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Prunus</w:t>
      </w:r>
      <w:proofErr w:type="spellEnd"/>
      <w:r w:rsidRPr="00986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86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mahaleb</w:t>
      </w:r>
      <w:proofErr w:type="spellEnd"/>
      <w:r w:rsidRPr="00986B5D">
        <w:rPr>
          <w:rFonts w:ascii="Times New Roman" w:eastAsia="Times New Roman" w:hAnsi="Times New Roman" w:cs="Times New Roman"/>
          <w:b/>
          <w:bCs/>
          <w:sz w:val="28"/>
          <w:szCs w:val="28"/>
        </w:rPr>
        <w:t>), 2019 рік</w:t>
      </w:r>
    </w:p>
    <w:tbl>
      <w:tblPr>
        <w:tblStyle w:val="Style10"/>
        <w:tblW w:w="99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701"/>
        <w:gridCol w:w="1901"/>
        <w:gridCol w:w="1992"/>
        <w:gridCol w:w="1992"/>
      </w:tblGrid>
      <w:tr w:rsidR="00986B5D" w:rsidRPr="00986B5D" w14:paraId="2D2BC6A4" w14:textId="77777777" w:rsidTr="00986B5D">
        <w:trPr>
          <w:trHeight w:val="601"/>
        </w:trPr>
        <w:tc>
          <w:tcPr>
            <w:tcW w:w="2371" w:type="dxa"/>
          </w:tcPr>
          <w:p w14:paraId="0A033AC3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Рослина</w:t>
            </w:r>
          </w:p>
        </w:tc>
        <w:tc>
          <w:tcPr>
            <w:tcW w:w="1701" w:type="dxa"/>
          </w:tcPr>
          <w:p w14:paraId="38F1FA6C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1901" w:type="dxa"/>
          </w:tcPr>
          <w:p w14:paraId="3620C1D3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 рослин, см</w:t>
            </w:r>
          </w:p>
        </w:tc>
        <w:tc>
          <w:tcPr>
            <w:tcW w:w="1992" w:type="dxa"/>
          </w:tcPr>
          <w:p w14:paraId="21B88529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Урожайність, ц/га</w:t>
            </w:r>
          </w:p>
        </w:tc>
        <w:tc>
          <w:tcPr>
            <w:tcW w:w="1992" w:type="dxa"/>
          </w:tcPr>
          <w:p w14:paraId="3ED930A4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 сухої речовини, %</w:t>
            </w:r>
          </w:p>
        </w:tc>
      </w:tr>
      <w:tr w:rsidR="00986B5D" w:rsidRPr="00986B5D" w14:paraId="5CF568BD" w14:textId="77777777" w:rsidTr="00986B5D">
        <w:trPr>
          <w:trHeight w:val="695"/>
        </w:trPr>
        <w:tc>
          <w:tcPr>
            <w:tcW w:w="2371" w:type="dxa"/>
          </w:tcPr>
          <w:p w14:paraId="03704ADD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Чебрець звичайний (</w:t>
            </w:r>
            <w:proofErr w:type="spellStart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Thymus</w:t>
            </w:r>
            <w:proofErr w:type="spellEnd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vulgaris</w:t>
            </w:r>
            <w:proofErr w:type="spellEnd"/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5F4A621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Духмяний</w:t>
            </w:r>
          </w:p>
        </w:tc>
        <w:tc>
          <w:tcPr>
            <w:tcW w:w="1901" w:type="dxa"/>
          </w:tcPr>
          <w:p w14:paraId="1595E90D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992" w:type="dxa"/>
          </w:tcPr>
          <w:p w14:paraId="331A5FE1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992" w:type="dxa"/>
          </w:tcPr>
          <w:p w14:paraId="15DD1182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6B5D" w:rsidRPr="00986B5D" w14:paraId="56E9D7B3" w14:textId="77777777" w:rsidTr="00986B5D">
        <w:trPr>
          <w:trHeight w:val="691"/>
        </w:trPr>
        <w:tc>
          <w:tcPr>
            <w:tcW w:w="2371" w:type="dxa"/>
          </w:tcPr>
          <w:p w14:paraId="4DC0038F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Гісоп лікарський (</w:t>
            </w:r>
            <w:proofErr w:type="spellStart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Hyssopus</w:t>
            </w:r>
            <w:proofErr w:type="spellEnd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officinalis</w:t>
            </w:r>
            <w:proofErr w:type="spellEnd"/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A556A2D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</w:p>
        </w:tc>
        <w:tc>
          <w:tcPr>
            <w:tcW w:w="1901" w:type="dxa"/>
          </w:tcPr>
          <w:p w14:paraId="19D72966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992" w:type="dxa"/>
          </w:tcPr>
          <w:p w14:paraId="6E5BFADB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992" w:type="dxa"/>
          </w:tcPr>
          <w:p w14:paraId="59B3845D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986B5D" w:rsidRPr="00986B5D" w14:paraId="6710A27E" w14:textId="77777777" w:rsidTr="00986B5D">
        <w:trPr>
          <w:trHeight w:val="701"/>
        </w:trPr>
        <w:tc>
          <w:tcPr>
            <w:tcW w:w="2371" w:type="dxa"/>
          </w:tcPr>
          <w:p w14:paraId="6404C7CA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Гісоп лікарський (</w:t>
            </w:r>
            <w:proofErr w:type="spellStart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Hyssopus</w:t>
            </w:r>
            <w:proofErr w:type="spellEnd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6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officinalis</w:t>
            </w:r>
            <w:proofErr w:type="spellEnd"/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6718174" w14:textId="77777777" w:rsidR="00986B5D" w:rsidRPr="00986B5D" w:rsidRDefault="00986B5D" w:rsidP="00986B5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Нікітський</w:t>
            </w:r>
            <w:proofErr w:type="spellEnd"/>
          </w:p>
        </w:tc>
        <w:tc>
          <w:tcPr>
            <w:tcW w:w="1901" w:type="dxa"/>
          </w:tcPr>
          <w:p w14:paraId="6B7FF649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992" w:type="dxa"/>
          </w:tcPr>
          <w:p w14:paraId="271842BC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992" w:type="dxa"/>
          </w:tcPr>
          <w:p w14:paraId="68C4F5A5" w14:textId="77777777" w:rsidR="00986B5D" w:rsidRPr="00986B5D" w:rsidRDefault="00986B5D" w:rsidP="00986B5D">
            <w:pPr>
              <w:widowControl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5D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</w:tr>
    </w:tbl>
    <w:p w14:paraId="3BBC9542" w14:textId="043696AA" w:rsidR="00EB69F1" w:rsidRDefault="00EB69F1" w:rsidP="00747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EFC91" w14:textId="00D85CF5" w:rsidR="007470D3" w:rsidRDefault="00986B5D" w:rsidP="00986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Підсумовуючи, можна констатувати, що у несприятливих кліматичних і економічних умовах Мелітопольського району вирощування у черешневих садах чебрецю звичайного і гісопу лікарського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доцільне з екологічної точки зору 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 мати економічний сенс. </w:t>
      </w:r>
      <w:r>
        <w:rPr>
          <w:rFonts w:ascii="Times New Roman" w:eastAsia="Times New Roman" w:hAnsi="Times New Roman" w:cs="Times New Roman"/>
          <w:sz w:val="28"/>
          <w:szCs w:val="28"/>
        </w:rPr>
        <w:t>Так, наприклад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2019 році з міжрядь черешневого саду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отримали врожайність чебрецю 10 ц/га сухої трави з 1 га, а гісопу - 33 ц/га. За цінами, що пропонують у мережі інтернету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Магазин лікарських рослин і чаїв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myHerb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), суха трава гісопу коштує 440 грн./кг, а суха трава чебрецю - 235 грн./кг.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83A85F" w14:textId="2641736A" w:rsidR="00986B5D" w:rsidRDefault="00986B5D" w:rsidP="00986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eastAsia="Times New Roman" w:hAnsi="Times New Roman" w:cs="Times New Roman"/>
          <w:sz w:val="28"/>
          <w:szCs w:val="28"/>
        </w:rPr>
        <w:t>гісоп лікарський (</w:t>
      </w:r>
      <w:proofErr w:type="spellStart"/>
      <w:r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>Hyssopus</w:t>
      </w:r>
      <w:proofErr w:type="spellEnd"/>
      <w:r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>officinalis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і чебрець звичайний (</w:t>
      </w:r>
      <w:proofErr w:type="spellStart"/>
      <w:r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>Thymus</w:t>
      </w:r>
      <w:proofErr w:type="spellEnd"/>
      <w:r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B5D">
        <w:rPr>
          <w:rFonts w:ascii="Times New Roman" w:eastAsia="Times New Roman" w:hAnsi="Times New Roman" w:cs="Times New Roman"/>
          <w:i/>
          <w:iCs/>
          <w:sz w:val="28"/>
          <w:szCs w:val="28"/>
        </w:rPr>
        <w:t>vulgaris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можна рекомендувати для сумісного вирощування з плодовими деревами в умовах Південного Степу України.</w:t>
      </w:r>
    </w:p>
    <w:p w14:paraId="5F24915E" w14:textId="77777777" w:rsidR="00986B5D" w:rsidRPr="00986B5D" w:rsidRDefault="00986B5D" w:rsidP="00986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9E143" w14:textId="3B59E80A" w:rsidR="007470D3" w:rsidRDefault="00AE5BA3" w:rsidP="00087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A3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7D39A807" w14:textId="77777777" w:rsidR="00AE5BA3" w:rsidRDefault="00AE5BA3" w:rsidP="00087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EDD22" w14:textId="77777777" w:rsidR="00AE5BA3" w:rsidRDefault="00AE5BA3" w:rsidP="00AE5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Герасько, Т.В. (2020). Вплив живої мульчі на фізіолого-біохімічні показники листків та плодів черешні за органічної технології вирощування. Збірник наукових праць «Агробіологія», 1, 20-28.  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>https://doi.org/10.33245/2310-9270-2020-157-1-20-28</w:t>
        </w:r>
      </w:hyperlink>
    </w:p>
    <w:p w14:paraId="4CE171EE" w14:textId="77777777" w:rsidR="00AE5BA3" w:rsidRDefault="00AE5BA3" w:rsidP="00AE5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Gerasko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Ivanova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I. (2021).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Morphometrical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Agricultural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7(1), 50-56.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10.11648/j.ijaas.20210701.14</w:t>
      </w:r>
    </w:p>
    <w:p w14:paraId="21DD96F8" w14:textId="2B01FC06" w:rsidR="00AE5BA3" w:rsidRPr="000875E2" w:rsidRDefault="00AE5BA3" w:rsidP="00AE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Octavia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Suharti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Dharmawan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I. W. S.,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Nugroho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H. Y. S. H.,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Supriyanto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Rohadi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D., ...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Ekawati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S. (2022).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Mainstreaming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Agroforestry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Forestry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Goals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Indonesia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Review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 14(15), 9313. https://doi.org/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10.3390/su14159313</w:t>
        </w:r>
      </w:hyperlink>
    </w:p>
    <w:sectPr w:rsidR="00AE5BA3" w:rsidRPr="000875E2" w:rsidSect="000875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7A"/>
    <w:rsid w:val="00060E53"/>
    <w:rsid w:val="000875E2"/>
    <w:rsid w:val="001B0067"/>
    <w:rsid w:val="00365895"/>
    <w:rsid w:val="003F7F69"/>
    <w:rsid w:val="00444437"/>
    <w:rsid w:val="00506CA5"/>
    <w:rsid w:val="00583F7A"/>
    <w:rsid w:val="007470D3"/>
    <w:rsid w:val="00860844"/>
    <w:rsid w:val="00986B5D"/>
    <w:rsid w:val="00AE5BA3"/>
    <w:rsid w:val="00CD7647"/>
    <w:rsid w:val="00D25812"/>
    <w:rsid w:val="00D57AEB"/>
    <w:rsid w:val="00EB69F1"/>
    <w:rsid w:val="00E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41BB"/>
  <w15:chartTrackingRefBased/>
  <w15:docId w15:val="{81CDBB7B-4352-4257-BDA9-102F15B4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0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70D3"/>
    <w:rPr>
      <w:color w:val="605E5C"/>
      <w:shd w:val="clear" w:color="auto" w:fill="E1DFDD"/>
    </w:rPr>
  </w:style>
  <w:style w:type="table" w:customStyle="1" w:styleId="Style10">
    <w:name w:val="_Style 10"/>
    <w:basedOn w:val="a1"/>
    <w:qFormat/>
    <w:rsid w:val="00986B5D"/>
    <w:pPr>
      <w:widowControl w:val="0"/>
      <w:spacing w:after="0" w:line="240" w:lineRule="auto"/>
      <w:jc w:val="both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3390/su14159313" TargetMode="External"/><Relationship Id="rId5" Type="http://schemas.openxmlformats.org/officeDocument/2006/relationships/hyperlink" Target="https://doi.org/10.33245/2310-9270-2020-157-1-20-28" TargetMode="External"/><Relationship Id="rId4" Type="http://schemas.openxmlformats.org/officeDocument/2006/relationships/hyperlink" Target="mailto:tetiana.herasko@tsat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5640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Тетяна</dc:creator>
  <cp:keywords/>
  <dc:description/>
  <cp:lastModifiedBy>Тетяна Тетяна</cp:lastModifiedBy>
  <cp:revision>7</cp:revision>
  <dcterms:created xsi:type="dcterms:W3CDTF">2023-09-21T04:53:00Z</dcterms:created>
  <dcterms:modified xsi:type="dcterms:W3CDTF">2023-09-21T06:39:00Z</dcterms:modified>
</cp:coreProperties>
</file>