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5535" w14:textId="25217665" w:rsidR="00A64BC0" w:rsidRPr="00320E9C" w:rsidRDefault="00A64BC0" w:rsidP="005178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УДК</w:t>
      </w:r>
      <w:r w:rsidR="00D77C65">
        <w:rPr>
          <w:rFonts w:ascii="Times New Roman" w:hAnsi="Times New Roman" w:cs="Times New Roman"/>
          <w:sz w:val="24"/>
          <w:szCs w:val="24"/>
          <w:lang w:val="ru-RU"/>
        </w:rPr>
        <w:t xml:space="preserve"> 338</w:t>
      </w:r>
    </w:p>
    <w:p w14:paraId="6A8587C5" w14:textId="0FE605C3" w:rsidR="00A64BC0" w:rsidRPr="00320E9C" w:rsidRDefault="00A64BC0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Мацука Вікторія Миколаївна,</w:t>
      </w:r>
    </w:p>
    <w:p w14:paraId="2966BFEF" w14:textId="77777777" w:rsidR="00B324E0" w:rsidRPr="00320E9C" w:rsidRDefault="00B324E0" w:rsidP="00B324E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кандидат 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е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кономічних 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н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аук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, доцент, </w:t>
      </w:r>
    </w:p>
    <w:p w14:paraId="2781A322" w14:textId="6FBC6475" w:rsidR="00B324E0" w:rsidRPr="00320E9C" w:rsidRDefault="00B324E0" w:rsidP="00B324E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доцент кафедри менеджменту та фінансів </w:t>
      </w:r>
    </w:p>
    <w:p w14:paraId="629A0F29" w14:textId="77777777" w:rsidR="00B324E0" w:rsidRPr="00320E9C" w:rsidRDefault="00A64BC0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Маріупольський державний університет</w:t>
      </w:r>
    </w:p>
    <w:p w14:paraId="6DEEC2D8" w14:textId="013C17CD" w:rsidR="00A64BC0" w:rsidRPr="00320E9C" w:rsidRDefault="00000000" w:rsidP="00A64BC0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hyperlink r:id="rId4" w:history="1">
        <w:r w:rsidR="00B324E0" w:rsidRPr="00320E9C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v.matsuka@mdu.in.ua</w:t>
        </w:r>
      </w:hyperlink>
      <w:r w:rsidR="00B324E0" w:rsidRPr="00320E9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A64BC0" w:rsidRPr="00320E9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14:paraId="5C339E44" w14:textId="4E1CF409" w:rsidR="00A64BC0" w:rsidRPr="00320E9C" w:rsidRDefault="00000000" w:rsidP="00A64BC0">
      <w:pPr>
        <w:spacing w:after="0" w:line="276" w:lineRule="auto"/>
        <w:jc w:val="right"/>
        <w:rPr>
          <w:rStyle w:val="a3"/>
          <w:rFonts w:ascii="Times New Roman" w:hAnsi="Times New Roman" w:cs="Times New Roman"/>
          <w:iCs/>
          <w:sz w:val="24"/>
          <w:szCs w:val="24"/>
          <w:lang w:val="uk-UA"/>
        </w:rPr>
      </w:pPr>
      <w:hyperlink r:id="rId5" w:history="1">
        <w:r w:rsidR="00B324E0" w:rsidRPr="00320E9C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https://orcid.org/0000-0002-0953-8769</w:t>
        </w:r>
      </w:hyperlink>
    </w:p>
    <w:p w14:paraId="2719E4E6" w14:textId="276F0B05" w:rsidR="00530D47" w:rsidRPr="00320E9C" w:rsidRDefault="00530D47" w:rsidP="00D04B16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Горбашевська Марина Олексіївна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</w:p>
    <w:p w14:paraId="63A6D306" w14:textId="7F66D582" w:rsidR="00D04B16" w:rsidRPr="00320E9C" w:rsidRDefault="00D04B16" w:rsidP="00D04B16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кандидат економічних наук, доцент, </w:t>
      </w:r>
    </w:p>
    <w:p w14:paraId="11FA73D6" w14:textId="77777777" w:rsidR="00D04B16" w:rsidRPr="00320E9C" w:rsidRDefault="00D04B16" w:rsidP="00D04B16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доцент кафедри менеджменту та фінансів </w:t>
      </w:r>
    </w:p>
    <w:p w14:paraId="503A865F" w14:textId="77777777" w:rsidR="00D04B16" w:rsidRPr="00320E9C" w:rsidRDefault="00D04B16" w:rsidP="00D04B16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Маріупольський державний університет</w:t>
      </w:r>
    </w:p>
    <w:p w14:paraId="79847DDC" w14:textId="3B9864B1" w:rsidR="00D04B16" w:rsidRPr="00320E9C" w:rsidRDefault="00D04B16" w:rsidP="00D04B16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hyperlink r:id="rId6" w:history="1">
        <w:r w:rsidRPr="00320E9C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m.gorbachevskaya@mdu.in.ua</w:t>
        </w:r>
      </w:hyperlink>
      <w:r w:rsidRPr="00320E9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14:paraId="688910FA" w14:textId="37FCB6F6" w:rsidR="00D04B16" w:rsidRPr="00320E9C" w:rsidRDefault="00D04B16" w:rsidP="00D04B16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hyperlink r:id="rId7" w:history="1">
        <w:r w:rsidRPr="00320E9C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https://orcid.org/0000-0002-7612-5593</w:t>
        </w:r>
      </w:hyperlink>
      <w:r w:rsidRPr="00320E9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14:paraId="47130984" w14:textId="77777777" w:rsidR="00B324E0" w:rsidRPr="00320E9C" w:rsidRDefault="00B324E0" w:rsidP="00B324E0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7BD63162" w14:textId="77777777" w:rsidR="00EF34D9" w:rsidRPr="00320E9C" w:rsidRDefault="00A64BC0" w:rsidP="00B324E0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РЕАЛІЗАЦІ</w:t>
      </w:r>
      <w:r w:rsidR="00B324E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Я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МІЖНАРОДНИХ ІНФРАСТРУКТУРНИХ ПРОЄКТІВ</w:t>
      </w:r>
      <w:r w:rsidR="00B324E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: </w:t>
      </w:r>
    </w:p>
    <w:p w14:paraId="32220F49" w14:textId="32582D7F" w:rsidR="00A64BC0" w:rsidRPr="00320E9C" w:rsidRDefault="00B324E0" w:rsidP="00B324E0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СВІТОВИЙ ДОСВІД</w:t>
      </w:r>
    </w:p>
    <w:p w14:paraId="4B9AAB50" w14:textId="77777777" w:rsidR="00A64BC0" w:rsidRPr="00320E9C" w:rsidRDefault="00A64BC0" w:rsidP="00A64BC0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10872769" w14:textId="3C4B90A6" w:rsidR="00FB2A85" w:rsidRPr="00320E9C" w:rsidRDefault="00FB2A85" w:rsidP="00CA32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>У світі щорічно реалізується величезна кількість інвестиційних про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ктів, які в найбільш загальному вигляді є довгостроковим вкладенням коштів для досягнення певної мети, якою можуть виступати як отримання комерційної вигоди, так і вирішення певних соціальних, економічних та багатьох інших проблем. Існує безліч видів таких про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ктів.</w:t>
      </w:r>
      <w:r w:rsidR="00CA3222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В окрему категорію можна виділити інвестиційні про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кти створення інфраструктурних 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об’єктів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. Такі про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кти мають особливу важливість, оскільки у високій мірі сприяють економічному зростанню та розвитку країн, посиленню внутрішньо- та міждержавних взаємодій як у процесі реалізації таких про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ктів, так і в результаті використання створеної інфраструктури</w:t>
      </w:r>
      <w:r w:rsidR="00DF4414" w:rsidRPr="00320E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1B25216" w14:textId="2820D3BD" w:rsidR="00FB2A85" w:rsidRPr="00320E9C" w:rsidRDefault="00FB2A85" w:rsidP="00CA32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Сукупність різних елементів інфраструктури є необхідною основою існування та функціонування економічних 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суб’єктів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. Представники бізнес-середовища зокрема відзначають, що здійснення інвестицій в інфраструктуру, особливо за широкої участі державного капіталу, служить надійним способом виведення країни з кризи.</w:t>
      </w:r>
      <w:r w:rsidR="00CA3222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Такий вид інвестування дає результати як у короткостроковому періоді, створюючи робочі місця, так і в довгостроковому, стимулюючи економічне зростання та розвиток територій.</w:t>
      </w:r>
      <w:r w:rsidR="00CA3222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Розвиток інфраструктури сприяє підвищенню продуктивності факторів виробництва, а також нагромадженню людського капіталу. У найбільш загальному вигляді інфраструктура поділяється на виробничу та соціальну.</w:t>
      </w:r>
    </w:p>
    <w:p w14:paraId="7103E39D" w14:textId="1EDDA0D3" w:rsidR="00FB2A85" w:rsidRPr="00320E9C" w:rsidRDefault="00FB2A85" w:rsidP="00FB2A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Один із варіантів класифікації видів інфраструктурних 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об’єктів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об’єкти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транспортної інфраструктури (автомобільні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шляхи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та залізниці, аеродроми, порти); 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об’єкти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енергетичної галузі (нафтопроводи, газопроводи, енергомережі); 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об’єкти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соціального призначення (школи, лікарні, театри, стадіони); 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об’єкти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 інфраструктури (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об’єкти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переробки та утилізації, житлово-комунальні послуги, освітлення); інфраструктура 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зв’язку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(лінії 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зв’язку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, засоби 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зв’язку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, підстанції).</w:t>
      </w:r>
    </w:p>
    <w:p w14:paraId="2D9A2195" w14:textId="6756CCAE" w:rsidR="00FB2A85" w:rsidRPr="00320E9C" w:rsidRDefault="00FB2A85" w:rsidP="00320E9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інфраструктурних 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об’єктів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здебільшого можна віднести до великих, середньострокових та довгострокових про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ктів. Для їх реалізації задіяні значні фінансові та трудові ресурси. Більше того, капіталомісткість таких про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ктів визначає їхню непривабливість для більшості 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суб’єктів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приватного сектору, що потребує залучення інвестицій держави та найбільших національних компаній, а також міжнародних інвестицій. З іншого боку, вкладення 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інфраструктуру, зазвичай, 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пов’язані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з низкою ризиків.</w:t>
      </w:r>
    </w:p>
    <w:p w14:paraId="79F540AE" w14:textId="56F9C4DC" w:rsidR="00255B30" w:rsidRPr="00320E9C" w:rsidRDefault="00255B30" w:rsidP="00320E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lastRenderedPageBreak/>
        <w:t>Багато інфраструктурних про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ктів є типовими і реалізуються за образом і подобою вже створених</w:t>
      </w:r>
      <w:r w:rsidR="00CA3222" w:rsidRPr="00320E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20E9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Переваги таких про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ктів у тому, що не потрібно винаходити якісь нові технології, всі можливі ризики, швидше за все, будуть відомі і досить легко розрахувати очікувані фінансові результати.</w:t>
      </w:r>
      <w:r w:rsid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Набагато складніша справа з мегапро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ктами, які здебільшого унікальні і найчастіше неможливо з точністю передбачити результати їх втілення. Такі про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кти відрізняються довгостроковістю виконання і, відповідно, мають довгий очікуваний термін служби, вимагають колосальних витрат, також в них використовуються новітні технології.</w:t>
      </w:r>
    </w:p>
    <w:p w14:paraId="66CF75EF" w14:textId="1C8E2F6E" w:rsidR="00255B30" w:rsidRPr="00320E9C" w:rsidRDefault="00255B30" w:rsidP="00CA322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>Бюджет багатьох з таких про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ктів перевищує ВВП 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деяких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країн. При цьому можна сказати, що мегапро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кти відображають прагнення до вирішення не так виробничих та економічних,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скільки соціальних завдань</w:t>
      </w:r>
      <w:r w:rsidR="00DF4414" w:rsidRPr="00320E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A3222" w:rsidRPr="00320E9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Серед уже здійснених мегапро</w:t>
      </w:r>
      <w:r w:rsidR="00DF4414"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ктів можна виділити кілька наймасштабніших: тунель під Ла-Маншем (Єврот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нел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); Готардський тунель; швидкісна залізниця Токіо-Нагоя-Осака; подвійний тунель Agua Negra; ГЕС «Три ущелини» та ін.</w:t>
      </w:r>
      <w:r w:rsidR="00DB0749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DB0749" w:rsidRPr="00320E9C">
        <w:rPr>
          <w:rFonts w:ascii="Times New Roman" w:hAnsi="Times New Roman" w:cs="Times New Roman"/>
          <w:sz w:val="24"/>
          <w:szCs w:val="24"/>
          <w:lang w:val="en-US"/>
        </w:rPr>
        <w:t>Zhuk</w:t>
      </w:r>
      <w:r w:rsidR="00DB0749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B0749" w:rsidRPr="00320E9C">
        <w:rPr>
          <w:rFonts w:ascii="Times New Roman" w:hAnsi="Times New Roman" w:cs="Times New Roman"/>
          <w:sz w:val="24"/>
          <w:szCs w:val="24"/>
          <w:lang w:val="en-US"/>
        </w:rPr>
        <w:t>Kolesnikova</w:t>
      </w:r>
      <w:r w:rsidR="003E19F7" w:rsidRPr="00320E9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B0749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0749" w:rsidRPr="00320E9C">
        <w:rPr>
          <w:rFonts w:ascii="Times New Roman" w:hAnsi="Times New Roman" w:cs="Times New Roman"/>
          <w:sz w:val="24"/>
          <w:szCs w:val="24"/>
          <w:lang w:val="uk-UA"/>
        </w:rPr>
        <w:t>2017)</w:t>
      </w:r>
      <w:r w:rsidR="0033573E" w:rsidRPr="00320E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A3222" w:rsidRPr="00320E9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За статистикою приблизно 2/3 всіх мегапро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ктів не досягають поставленої мети, а близько 20% виявляються повністю економічно провальними і нездатними як принести чистий прибуток, а й окупити вкладені кошти</w:t>
      </w:r>
      <w:r w:rsidR="00DF4414" w:rsidRPr="00320E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20E9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Це може статися в результаті </w:t>
      </w:r>
      <w:r w:rsidR="00FA6FAA" w:rsidRPr="00320E9C">
        <w:rPr>
          <w:rFonts w:ascii="Times New Roman" w:hAnsi="Times New Roman" w:cs="Times New Roman"/>
          <w:sz w:val="24"/>
          <w:szCs w:val="24"/>
          <w:lang w:val="uk-UA"/>
        </w:rPr>
        <w:t>значних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перевитрат, часто </w:t>
      </w:r>
      <w:r w:rsidR="00FA6FAA" w:rsidRPr="00320E9C">
        <w:rPr>
          <w:rFonts w:ascii="Times New Roman" w:hAnsi="Times New Roman" w:cs="Times New Roman"/>
          <w:sz w:val="24"/>
          <w:szCs w:val="24"/>
          <w:lang w:val="uk-UA"/>
        </w:rPr>
        <w:t>пов’язаних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з продовженням початкових термінів виконання про</w:t>
      </w:r>
      <w:r w:rsidR="00FA6FAA"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кту, а також з низьким рівнем продуктивності та працездатності кінцевого </w:t>
      </w:r>
      <w:r w:rsidR="00FA6FAA" w:rsidRPr="00320E9C">
        <w:rPr>
          <w:rFonts w:ascii="Times New Roman" w:hAnsi="Times New Roman" w:cs="Times New Roman"/>
          <w:sz w:val="24"/>
          <w:szCs w:val="24"/>
          <w:lang w:val="uk-UA"/>
        </w:rPr>
        <w:t>об’єкта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A3222" w:rsidRPr="00320E9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Зарубіжні країни мають величезний досвід здійснення великих інвестиційних про</w:t>
      </w:r>
      <w:r w:rsidR="00FA6FAA"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ктів. Найбільш відомі та масштабні з них – це в основному транспортні та енергетичні про</w:t>
      </w:r>
      <w:r w:rsidR="00FA6FAA"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кти.</w:t>
      </w:r>
    </w:p>
    <w:p w14:paraId="15ED9B8E" w14:textId="462E8AEF" w:rsidR="00213703" w:rsidRPr="00320E9C" w:rsidRDefault="00213703" w:rsidP="00CA32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Війна в Україні завдала значної шкоди її інфраструктурі, навколишньому середовищу та суспільству. </w:t>
      </w:r>
      <w:r w:rsidR="00512927" w:rsidRPr="00320E9C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раїна </w:t>
      </w:r>
      <w:r w:rsidR="00512927" w:rsidRPr="00320E9C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стала на шлях відновлення, мет</w:t>
      </w:r>
      <w:r w:rsidR="00512927" w:rsidRPr="00320E9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якого відбудова, відкрит</w:t>
      </w:r>
      <w:r w:rsidR="00512927" w:rsidRPr="00320E9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512927" w:rsidRPr="00320E9C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, прозор</w:t>
      </w:r>
      <w:r w:rsidR="00512927" w:rsidRPr="00320E9C">
        <w:rPr>
          <w:rFonts w:ascii="Times New Roman" w:hAnsi="Times New Roman" w:cs="Times New Roman"/>
          <w:sz w:val="24"/>
          <w:szCs w:val="24"/>
          <w:lang w:val="uk-UA"/>
        </w:rPr>
        <w:t>ість, відповіднісь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європейським</w:t>
      </w:r>
      <w:r w:rsidR="00512927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стандартам, стал</w:t>
      </w:r>
      <w:r w:rsidR="00512927" w:rsidRPr="00320E9C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розвит</w:t>
      </w:r>
      <w:r w:rsidR="00512927" w:rsidRPr="00320E9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к,</w:t>
      </w:r>
      <w:r w:rsidR="00512927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енергетичн</w:t>
      </w:r>
      <w:r w:rsidR="00512927" w:rsidRPr="00320E9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незалежн</w:t>
      </w:r>
      <w:r w:rsidR="00512927" w:rsidRPr="00320E9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512927" w:rsidRPr="00320E9C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, інклюзивн</w:t>
      </w:r>
      <w:r w:rsidR="00512927" w:rsidRPr="00320E9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512927" w:rsidRPr="00320E9C">
        <w:rPr>
          <w:rFonts w:ascii="Times New Roman" w:hAnsi="Times New Roman" w:cs="Times New Roman"/>
          <w:sz w:val="24"/>
          <w:szCs w:val="24"/>
          <w:lang w:val="uk-UA"/>
        </w:rPr>
        <w:t>ь,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безпек</w:t>
      </w:r>
      <w:r w:rsidR="00512927" w:rsidRPr="00320E9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3573E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573E" w:rsidRPr="00320E9C">
        <w:rPr>
          <w:rFonts w:ascii="Times New Roman" w:hAnsi="Times New Roman" w:cs="Times New Roman"/>
          <w:sz w:val="24"/>
          <w:szCs w:val="24"/>
          <w:lang w:val="uk-UA"/>
        </w:rPr>
        <w:t>(Міністерство відновлення України, 2023)</w:t>
      </w:r>
      <w:r w:rsidR="0033573E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B0749" w:rsidRPr="00320E9C">
        <w:rPr>
          <w:rFonts w:ascii="Times New Roman" w:hAnsi="Times New Roman" w:cs="Times New Roman"/>
          <w:sz w:val="24"/>
          <w:szCs w:val="24"/>
          <w:lang w:val="uk-UA"/>
        </w:rPr>
        <w:t>Створена міжнародна інвестиційна платформа для відновлення України</w:t>
      </w:r>
      <w:r w:rsidR="00DB0749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DB0749" w:rsidRPr="00320E9C">
        <w:rPr>
          <w:rFonts w:ascii="Times New Roman" w:hAnsi="Times New Roman" w:cs="Times New Roman"/>
          <w:caps/>
          <w:sz w:val="24"/>
          <w:szCs w:val="24"/>
          <w:lang w:val="ru-RU"/>
        </w:rPr>
        <w:t>asde</w:t>
      </w:r>
      <w:r w:rsidR="00DB0749" w:rsidRPr="00320E9C">
        <w:rPr>
          <w:rFonts w:ascii="Times New Roman" w:hAnsi="Times New Roman" w:cs="Times New Roman"/>
          <w:caps/>
          <w:sz w:val="24"/>
          <w:szCs w:val="24"/>
          <w:lang w:val="uk-UA"/>
        </w:rPr>
        <w:t>,</w:t>
      </w:r>
      <w:r w:rsidR="0033573E" w:rsidRPr="00320E9C"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 </w:t>
      </w:r>
      <w:r w:rsidR="00DB0749" w:rsidRPr="00320E9C">
        <w:rPr>
          <w:rFonts w:ascii="Times New Roman" w:hAnsi="Times New Roman" w:cs="Times New Roman"/>
          <w:caps/>
          <w:sz w:val="24"/>
          <w:szCs w:val="24"/>
          <w:lang w:val="uk-UA"/>
        </w:rPr>
        <w:t>2023).</w:t>
      </w:r>
      <w:r w:rsidR="0033573E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Для подолання наслідків війни в Україні заплановано ряд міжнародних проєктів</w:t>
      </w:r>
      <w:r w:rsidR="00FA6FAA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(п</w:t>
      </w:r>
      <w:r w:rsidR="00FA6FAA" w:rsidRPr="00320E9C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FA6FAA"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FA6FAA" w:rsidRPr="00320E9C">
        <w:rPr>
          <w:rFonts w:ascii="Times New Roman" w:hAnsi="Times New Roman" w:cs="Times New Roman"/>
          <w:sz w:val="24"/>
          <w:szCs w:val="24"/>
          <w:lang w:val="uk-UA"/>
        </w:rPr>
        <w:t>кт відновлення основної логістичної інфраструктури та підключення до мережі (RELINC)</w:t>
      </w:r>
      <w:r w:rsidR="00FA6FAA" w:rsidRPr="00320E9C">
        <w:rPr>
          <w:rFonts w:ascii="Times New Roman" w:hAnsi="Times New Roman" w:cs="Times New Roman"/>
          <w:sz w:val="24"/>
          <w:szCs w:val="24"/>
          <w:lang w:val="uk-UA"/>
        </w:rPr>
        <w:t>; п</w:t>
      </w:r>
      <w:r w:rsidR="00FA6FAA" w:rsidRPr="00320E9C">
        <w:rPr>
          <w:rFonts w:ascii="Times New Roman" w:hAnsi="Times New Roman" w:cs="Times New Roman"/>
          <w:sz w:val="24"/>
          <w:szCs w:val="24"/>
          <w:lang w:val="uk-UA"/>
        </w:rPr>
        <w:t>роєкт «Зміцнення здоров’я та порятунок життя в Україні» (HEAL)</w:t>
      </w:r>
      <w:r w:rsidR="00FA6FAA" w:rsidRPr="00320E9C">
        <w:rPr>
          <w:rFonts w:ascii="Times New Roman" w:hAnsi="Times New Roman" w:cs="Times New Roman"/>
          <w:sz w:val="24"/>
          <w:szCs w:val="24"/>
          <w:lang w:val="uk-UA"/>
        </w:rPr>
        <w:t>; п</w:t>
      </w:r>
      <w:r w:rsidR="00FA6FAA" w:rsidRPr="00320E9C">
        <w:rPr>
          <w:rFonts w:ascii="Times New Roman" w:hAnsi="Times New Roman" w:cs="Times New Roman"/>
          <w:sz w:val="24"/>
          <w:szCs w:val="24"/>
          <w:lang w:val="uk-UA"/>
        </w:rPr>
        <w:t>роєкт «Аварійне відновлення мережі електропередач Укренерго»</w:t>
      </w:r>
      <w:r w:rsidR="00FA6FAA" w:rsidRPr="00320E9C">
        <w:rPr>
          <w:rFonts w:ascii="Times New Roman" w:hAnsi="Times New Roman" w:cs="Times New Roman"/>
          <w:sz w:val="24"/>
          <w:szCs w:val="24"/>
          <w:lang w:val="uk-UA"/>
        </w:rPr>
        <w:t>; п</w:t>
      </w:r>
      <w:r w:rsidR="00FA6FAA" w:rsidRPr="00320E9C">
        <w:rPr>
          <w:rFonts w:ascii="Times New Roman" w:hAnsi="Times New Roman" w:cs="Times New Roman"/>
          <w:sz w:val="24"/>
          <w:szCs w:val="24"/>
          <w:lang w:val="uk-UA"/>
        </w:rPr>
        <w:t>рограма NEFCO Green Recovery</w:t>
      </w:r>
      <w:r w:rsidR="00FA6FAA" w:rsidRPr="00320E9C">
        <w:rPr>
          <w:rFonts w:ascii="Times New Roman" w:hAnsi="Times New Roman" w:cs="Times New Roman"/>
          <w:sz w:val="24"/>
          <w:szCs w:val="24"/>
          <w:lang w:val="uk-UA"/>
        </w:rPr>
        <w:t>; п</w:t>
      </w:r>
      <w:r w:rsidR="00FA6FAA" w:rsidRPr="00320E9C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FA6FAA"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FA6FAA" w:rsidRPr="00320E9C">
        <w:rPr>
          <w:rFonts w:ascii="Times New Roman" w:hAnsi="Times New Roman" w:cs="Times New Roman"/>
          <w:sz w:val="24"/>
          <w:szCs w:val="24"/>
          <w:lang w:val="uk-UA"/>
        </w:rPr>
        <w:t>кт «Підтримка раннього відновлення у постраждалих від війни районах»</w:t>
      </w:r>
      <w:r w:rsidR="00FA6FAA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та ін.)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, спрямованих на відновлення важливих галузей функціонування країни</w:t>
      </w:r>
      <w:r w:rsidR="0033573E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33573E" w:rsidRPr="00320E9C">
        <w:rPr>
          <w:rFonts w:ascii="Times New Roman" w:hAnsi="Times New Roman" w:cs="Times New Roman"/>
          <w:sz w:val="24"/>
          <w:szCs w:val="24"/>
          <w:lang w:val="uk-UA"/>
        </w:rPr>
        <w:t>Українська правда</w:t>
      </w:r>
      <w:r w:rsidR="0033573E" w:rsidRPr="00320E9C">
        <w:rPr>
          <w:rFonts w:ascii="Times New Roman" w:hAnsi="Times New Roman" w:cs="Times New Roman"/>
          <w:sz w:val="24"/>
          <w:szCs w:val="24"/>
          <w:lang w:val="uk-UA"/>
        </w:rPr>
        <w:t>, 2023)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. Ці проєкти підтримують такі міжнародні організації, як Світовий банк, ЄБРР, ПРООН, ФАО тощо.</w:t>
      </w:r>
      <w:r w:rsidR="00FA6FAA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33B86BD" w14:textId="39691293" w:rsidR="00213703" w:rsidRPr="00320E9C" w:rsidRDefault="00213703" w:rsidP="00B324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>Загалом, з основними союзниками США і ЄС Україна має всі шанси прискорити свій шлях до більш сталого майбутнього. Беручи до уваги поточний внесок у стабільність економіки та перспективні зусилля багатьох організацій по всьому світу, відновлення України за умови належного управління неодмінно втілиться в життя з кращим, яскравішим і здоровішим майбутнім для країни, яка нині потерпає від війни.</w:t>
      </w:r>
    </w:p>
    <w:p w14:paraId="0EFA5969" w14:textId="78A5E6C8" w:rsidR="005A4455" w:rsidRPr="00320E9C" w:rsidRDefault="005A4455" w:rsidP="005A445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14:paraId="1C85B7DB" w14:textId="15A9CA28" w:rsidR="008C7DA7" w:rsidRPr="00320E9C" w:rsidRDefault="008C7DA7" w:rsidP="00C928C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E9C">
        <w:rPr>
          <w:rFonts w:ascii="Times New Roman" w:hAnsi="Times New Roman" w:cs="Times New Roman"/>
          <w:sz w:val="24"/>
          <w:szCs w:val="24"/>
          <w:lang w:val="ru-RU"/>
        </w:rPr>
        <w:t xml:space="preserve">Інфраструктурні проєкти. Міністерство відновлення України. </w:t>
      </w:r>
      <w:r w:rsidRPr="00320E9C">
        <w:rPr>
          <w:rFonts w:ascii="Times New Roman" w:hAnsi="Times New Roman" w:cs="Times New Roman"/>
          <w:sz w:val="24"/>
          <w:szCs w:val="24"/>
        </w:rPr>
        <w:t>URL: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8" w:history="1"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mtu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timeline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Infrastrukturni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proekti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320E9C">
        <w:rPr>
          <w:rFonts w:ascii="Times New Roman" w:hAnsi="Times New Roman" w:cs="Times New Roman"/>
          <w:sz w:val="24"/>
          <w:szCs w:val="24"/>
          <w:lang w:val="ru-RU"/>
        </w:rPr>
        <w:t xml:space="preserve"> (дата звернення: </w:t>
      </w:r>
      <w:r w:rsidR="008A324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20E9C">
        <w:rPr>
          <w:rFonts w:ascii="Times New Roman" w:hAnsi="Times New Roman" w:cs="Times New Roman"/>
          <w:sz w:val="24"/>
          <w:szCs w:val="24"/>
          <w:lang w:val="ru-RU"/>
        </w:rPr>
        <w:t>3.08.2023)</w:t>
      </w:r>
    </w:p>
    <w:p w14:paraId="50EAFE03" w14:textId="4CC05F5A" w:rsidR="008C7DA7" w:rsidRPr="00320E9C" w:rsidRDefault="008C7DA7" w:rsidP="00C928C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0E9C">
        <w:rPr>
          <w:rFonts w:ascii="Times New Roman" w:hAnsi="Times New Roman" w:cs="Times New Roman"/>
          <w:sz w:val="24"/>
          <w:szCs w:val="24"/>
          <w:lang w:val="ru-RU"/>
        </w:rPr>
        <w:t xml:space="preserve">Ключові інфраструктурні проєкти в Україні під час війни. Українська правда. </w:t>
      </w:r>
      <w:r w:rsidRPr="00320E9C">
        <w:rPr>
          <w:rFonts w:ascii="Times New Roman" w:hAnsi="Times New Roman" w:cs="Times New Roman"/>
          <w:sz w:val="24"/>
          <w:szCs w:val="24"/>
        </w:rPr>
        <w:t>URL: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9" w:history="1"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epravda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columns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/2022/09/7/691202/</w:t>
        </w:r>
      </w:hyperlink>
      <w:r w:rsidRPr="00320E9C">
        <w:rPr>
          <w:rFonts w:ascii="Times New Roman" w:hAnsi="Times New Roman" w:cs="Times New Roman"/>
          <w:sz w:val="24"/>
          <w:szCs w:val="24"/>
          <w:lang w:val="ru-RU"/>
        </w:rPr>
        <w:t xml:space="preserve"> (дата звернення: </w:t>
      </w:r>
      <w:r w:rsidR="008A324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20E9C">
        <w:rPr>
          <w:rFonts w:ascii="Times New Roman" w:hAnsi="Times New Roman" w:cs="Times New Roman"/>
          <w:sz w:val="24"/>
          <w:szCs w:val="24"/>
          <w:lang w:val="ru-RU"/>
        </w:rPr>
        <w:t>3.08.2023)</w:t>
      </w:r>
    </w:p>
    <w:p w14:paraId="621F8E6E" w14:textId="4026D150" w:rsidR="008C7DA7" w:rsidRPr="00320E9C" w:rsidRDefault="008C7DA7" w:rsidP="00C928CB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0E9C">
        <w:rPr>
          <w:rFonts w:ascii="Times New Roman" w:hAnsi="Times New Roman" w:cs="Times New Roman"/>
          <w:sz w:val="24"/>
          <w:szCs w:val="24"/>
          <w:lang w:val="ru-RU"/>
        </w:rPr>
        <w:t>Створена міжнародна інвестиційна платформа для відновлення України</w:t>
      </w:r>
      <w:r w:rsidRPr="00320E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20E9C">
        <w:rPr>
          <w:rFonts w:ascii="Times New Roman" w:hAnsi="Times New Roman" w:cs="Times New Roman"/>
          <w:caps/>
          <w:sz w:val="24"/>
          <w:szCs w:val="24"/>
          <w:lang w:val="ru-RU"/>
        </w:rPr>
        <w:t>asde.</w:t>
      </w:r>
      <w:r w:rsidRPr="00320E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0E9C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0" w:history="1"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https://asde.com.ua/news</w:t>
        </w:r>
      </w:hyperlink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0E9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20E9C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320E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0E9C">
        <w:rPr>
          <w:rFonts w:ascii="Times New Roman" w:hAnsi="Times New Roman" w:cs="Times New Roman"/>
          <w:sz w:val="24"/>
          <w:szCs w:val="24"/>
          <w:lang w:val="ru-RU"/>
        </w:rPr>
        <w:t>звернення</w:t>
      </w:r>
      <w:r w:rsidRPr="00320E9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A324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320E9C">
        <w:rPr>
          <w:rFonts w:ascii="Times New Roman" w:hAnsi="Times New Roman" w:cs="Times New Roman"/>
          <w:sz w:val="24"/>
          <w:szCs w:val="24"/>
          <w:lang w:val="en-US"/>
        </w:rPr>
        <w:t>3.08.2023)</w:t>
      </w:r>
    </w:p>
    <w:p w14:paraId="5327C30B" w14:textId="2CAF4984" w:rsidR="0010365D" w:rsidRPr="00320E9C" w:rsidRDefault="005A4455" w:rsidP="00C928CB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0E9C">
        <w:rPr>
          <w:rFonts w:ascii="Times New Roman" w:hAnsi="Times New Roman" w:cs="Times New Roman"/>
          <w:sz w:val="24"/>
          <w:szCs w:val="24"/>
          <w:lang w:val="en-US"/>
        </w:rPr>
        <w:t>Zhuk A.A., Kolesnikova I.V. International Experience in Creating Major Infrastructure Projects. Economic Analysis: Theory and Practice</w:t>
      </w:r>
      <w:r w:rsidR="00915226" w:rsidRPr="00320E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20E9C"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 w:rsidR="00915226" w:rsidRPr="00320E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20E9C">
        <w:rPr>
          <w:rFonts w:ascii="Times New Roman" w:hAnsi="Times New Roman" w:cs="Times New Roman"/>
          <w:sz w:val="24"/>
          <w:szCs w:val="24"/>
          <w:lang w:val="en-US"/>
        </w:rPr>
        <w:t xml:space="preserve"> vol. 16</w:t>
      </w:r>
      <w:r w:rsidR="00915226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320E9C">
        <w:rPr>
          <w:rFonts w:ascii="Times New Roman" w:hAnsi="Times New Roman" w:cs="Times New Roman"/>
          <w:sz w:val="24"/>
          <w:szCs w:val="24"/>
          <w:lang w:val="en-US"/>
        </w:rPr>
        <w:t>iss. 10</w:t>
      </w:r>
      <w:r w:rsidR="00915226" w:rsidRPr="00320E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20E9C">
        <w:rPr>
          <w:rFonts w:ascii="Times New Roman" w:hAnsi="Times New Roman" w:cs="Times New Roman"/>
          <w:sz w:val="24"/>
          <w:szCs w:val="24"/>
          <w:lang w:val="en-US"/>
        </w:rPr>
        <w:t xml:space="preserve"> pp. 1859–1877.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2018" w:rsidRPr="00320E9C">
        <w:rPr>
          <w:rFonts w:ascii="Times New Roman" w:hAnsi="Times New Roman" w:cs="Times New Roman"/>
          <w:sz w:val="24"/>
          <w:szCs w:val="24"/>
        </w:rPr>
        <w:t>URL:</w:t>
      </w:r>
      <w:r w:rsidR="00112018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1" w:history="1">
        <w:r w:rsidR="00112018"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https://doi.org/10.24891/ea.16.10.1859</w:t>
        </w:r>
      </w:hyperlink>
      <w:r w:rsidR="00112018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2018" w:rsidRPr="00320E9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2018" w:rsidRPr="00320E9C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="00112018" w:rsidRPr="00320E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2018" w:rsidRPr="00320E9C">
        <w:rPr>
          <w:rFonts w:ascii="Times New Roman" w:hAnsi="Times New Roman" w:cs="Times New Roman"/>
          <w:sz w:val="24"/>
          <w:szCs w:val="24"/>
          <w:lang w:val="ru-RU"/>
        </w:rPr>
        <w:t>звернення</w:t>
      </w:r>
      <w:r w:rsidR="00112018" w:rsidRPr="00320E9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A324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12018" w:rsidRPr="00320E9C">
        <w:rPr>
          <w:rFonts w:ascii="Times New Roman" w:hAnsi="Times New Roman" w:cs="Times New Roman"/>
          <w:sz w:val="24"/>
          <w:szCs w:val="24"/>
          <w:lang w:val="en-US"/>
        </w:rPr>
        <w:t>3.08.2023)</w:t>
      </w:r>
    </w:p>
    <w:sectPr w:rsidR="0010365D" w:rsidRPr="00320E9C" w:rsidSect="00320E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AC"/>
    <w:rsid w:val="000A2070"/>
    <w:rsid w:val="000C2A52"/>
    <w:rsid w:val="0010365D"/>
    <w:rsid w:val="00107E7A"/>
    <w:rsid w:val="00112018"/>
    <w:rsid w:val="00213703"/>
    <w:rsid w:val="00255B30"/>
    <w:rsid w:val="00262E18"/>
    <w:rsid w:val="00320E9C"/>
    <w:rsid w:val="0033573E"/>
    <w:rsid w:val="003A5569"/>
    <w:rsid w:val="003C62D0"/>
    <w:rsid w:val="003E19F7"/>
    <w:rsid w:val="0044728F"/>
    <w:rsid w:val="004D3889"/>
    <w:rsid w:val="004D54D3"/>
    <w:rsid w:val="004D6118"/>
    <w:rsid w:val="004E417B"/>
    <w:rsid w:val="00512927"/>
    <w:rsid w:val="005178B5"/>
    <w:rsid w:val="00530D47"/>
    <w:rsid w:val="005A4455"/>
    <w:rsid w:val="006203C9"/>
    <w:rsid w:val="006D6F9A"/>
    <w:rsid w:val="007D24B2"/>
    <w:rsid w:val="00815889"/>
    <w:rsid w:val="008A3247"/>
    <w:rsid w:val="008C7DA7"/>
    <w:rsid w:val="008E32F5"/>
    <w:rsid w:val="00915226"/>
    <w:rsid w:val="0093083E"/>
    <w:rsid w:val="00973116"/>
    <w:rsid w:val="00A64BC0"/>
    <w:rsid w:val="00B324E0"/>
    <w:rsid w:val="00B64FAC"/>
    <w:rsid w:val="00BB631A"/>
    <w:rsid w:val="00BC3DCD"/>
    <w:rsid w:val="00C34923"/>
    <w:rsid w:val="00C928CB"/>
    <w:rsid w:val="00CA3222"/>
    <w:rsid w:val="00D04B16"/>
    <w:rsid w:val="00D77C65"/>
    <w:rsid w:val="00DB0749"/>
    <w:rsid w:val="00DF4414"/>
    <w:rsid w:val="00EF34D9"/>
    <w:rsid w:val="00F12DF3"/>
    <w:rsid w:val="00FA6FAA"/>
    <w:rsid w:val="00FB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D5D4"/>
  <w15:chartTrackingRefBased/>
  <w15:docId w15:val="{B668AEDE-D741-495D-871C-592CC4B8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F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4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u.gov.ua/timeline/Infrastrukturni-proekti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7612-559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gorbachevskaya@mdu.in.ua" TargetMode="External"/><Relationship Id="rId11" Type="http://schemas.openxmlformats.org/officeDocument/2006/relationships/hyperlink" Target="https://doi.org/10.24891/ea.16.10.1859" TargetMode="External"/><Relationship Id="rId5" Type="http://schemas.openxmlformats.org/officeDocument/2006/relationships/hyperlink" Target="https://orcid.org/0000-0002-0953-8769" TargetMode="External"/><Relationship Id="rId10" Type="http://schemas.openxmlformats.org/officeDocument/2006/relationships/hyperlink" Target="https://asde.com.ua/news" TargetMode="External"/><Relationship Id="rId4" Type="http://schemas.openxmlformats.org/officeDocument/2006/relationships/hyperlink" Target="mailto:v.matsuka@mdu.in.ua" TargetMode="External"/><Relationship Id="rId9" Type="http://schemas.openxmlformats.org/officeDocument/2006/relationships/hyperlink" Target="https://www.epravda.com.ua/columns/2022/09/7/6912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Мацука Вікторія</dc:creator>
  <cp:keywords/>
  <dc:description/>
  <cp:lastModifiedBy>Мацука Вікторія</cp:lastModifiedBy>
  <cp:revision>15</cp:revision>
  <dcterms:created xsi:type="dcterms:W3CDTF">2023-08-20T15:55:00Z</dcterms:created>
  <dcterms:modified xsi:type="dcterms:W3CDTF">2023-08-20T19:12:00Z</dcterms:modified>
</cp:coreProperties>
</file>